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E0" w:rsidRDefault="000348E0" w:rsidP="000348E0">
      <w:pPr>
        <w:jc w:val="center"/>
        <w:rPr>
          <w:sz w:val="28"/>
          <w:szCs w:val="28"/>
        </w:rPr>
      </w:pPr>
      <w:bookmarkStart w:id="0" w:name="_GoBack"/>
      <w:bookmarkEnd w:id="0"/>
      <w:r>
        <w:rPr>
          <w:sz w:val="28"/>
          <w:szCs w:val="28"/>
        </w:rPr>
        <w:t>Puerto Rico’s Steep Population Decline</w:t>
      </w:r>
    </w:p>
    <w:p w:rsidR="000348E0" w:rsidRDefault="000348E0" w:rsidP="000348E0">
      <w:pPr>
        <w:jc w:val="center"/>
        <w:rPr>
          <w:sz w:val="28"/>
          <w:szCs w:val="28"/>
        </w:rPr>
      </w:pPr>
      <w:proofErr w:type="gramStart"/>
      <w:r>
        <w:rPr>
          <w:sz w:val="28"/>
          <w:szCs w:val="28"/>
        </w:rPr>
        <w:t>and</w:t>
      </w:r>
      <w:proofErr w:type="gramEnd"/>
      <w:r>
        <w:rPr>
          <w:sz w:val="28"/>
          <w:szCs w:val="28"/>
        </w:rPr>
        <w:t xml:space="preserve"> the</w:t>
      </w:r>
    </w:p>
    <w:p w:rsidR="000348E0" w:rsidRDefault="000348E0" w:rsidP="000348E0">
      <w:pPr>
        <w:jc w:val="center"/>
        <w:rPr>
          <w:sz w:val="28"/>
          <w:szCs w:val="28"/>
        </w:rPr>
      </w:pPr>
      <w:r>
        <w:rPr>
          <w:sz w:val="28"/>
          <w:szCs w:val="28"/>
        </w:rPr>
        <w:t>Possible Downward Economic Spiral</w:t>
      </w:r>
    </w:p>
    <w:p w:rsidR="000376AA" w:rsidRDefault="000376AA" w:rsidP="000E1843"/>
    <w:p w:rsidR="000376AA" w:rsidRPr="000376AA" w:rsidRDefault="000376AA" w:rsidP="000376AA">
      <w:pPr>
        <w:rPr>
          <w:rFonts w:eastAsia="Times New Roman" w:cs="Arial"/>
          <w:szCs w:val="24"/>
        </w:rPr>
      </w:pPr>
      <w:r w:rsidRPr="00925CF5">
        <w:rPr>
          <w:rFonts w:cs="Arial"/>
        </w:rPr>
        <w:tab/>
        <w:t xml:space="preserve">One of the most dramatic indications of the poor and deteriorating condition of the Puerto Rican economy in recent years has been the large population decline.  The figure below shows the changes in Puerto Rico’s population since 2000.  </w:t>
      </w:r>
      <w:r w:rsidRPr="000376AA">
        <w:rPr>
          <w:rFonts w:eastAsia="Times New Roman" w:cs="Arial"/>
          <w:szCs w:val="24"/>
        </w:rPr>
        <w:t>After peaking in 2004 at 3,826,878, Puerto Rico’s population dropped by 4.2% to 3,667,084 in 2012.  This decline is largely accounted for by out-migration to the states</w:t>
      </w:r>
      <w:r w:rsidRPr="00925CF5">
        <w:rPr>
          <w:rFonts w:eastAsia="Times New Roman" w:cs="Arial"/>
          <w:szCs w:val="24"/>
        </w:rPr>
        <w:t xml:space="preserve">, as net migration </w:t>
      </w:r>
      <w:r w:rsidR="00ED7D62">
        <w:rPr>
          <w:rFonts w:eastAsia="Times New Roman" w:cs="Arial"/>
          <w:szCs w:val="24"/>
        </w:rPr>
        <w:t xml:space="preserve">to the states </w:t>
      </w:r>
      <w:r w:rsidRPr="00925CF5">
        <w:rPr>
          <w:rFonts w:eastAsia="Times New Roman" w:cs="Arial"/>
          <w:szCs w:val="24"/>
        </w:rPr>
        <w:t>exceeded thirty thousan</w:t>
      </w:r>
      <w:r w:rsidR="00925CF5" w:rsidRPr="00925CF5">
        <w:rPr>
          <w:rFonts w:eastAsia="Times New Roman" w:cs="Arial"/>
          <w:szCs w:val="24"/>
        </w:rPr>
        <w:t>d persons in most recent years.</w:t>
      </w:r>
      <w:r w:rsidR="00925CF5" w:rsidRPr="00925CF5">
        <w:rPr>
          <w:rStyle w:val="EndnoteReference"/>
          <w:rFonts w:eastAsia="Times New Roman" w:cs="Arial"/>
          <w:szCs w:val="24"/>
        </w:rPr>
        <w:endnoteReference w:id="1"/>
      </w:r>
      <w:r w:rsidR="00925CF5" w:rsidRPr="00925CF5">
        <w:rPr>
          <w:rFonts w:eastAsia="Times New Roman" w:cs="Arial"/>
          <w:szCs w:val="24"/>
        </w:rPr>
        <w:t xml:space="preserve">  D</w:t>
      </w:r>
      <w:r w:rsidRPr="000376AA">
        <w:rPr>
          <w:rFonts w:eastAsia="Times New Roman" w:cs="Arial"/>
          <w:szCs w:val="24"/>
        </w:rPr>
        <w:t xml:space="preserve">uring the 2004 to 2012 period, </w:t>
      </w:r>
      <w:r w:rsidR="00925CF5" w:rsidRPr="00925CF5">
        <w:rPr>
          <w:rFonts w:eastAsia="Times New Roman" w:cs="Arial"/>
          <w:szCs w:val="24"/>
        </w:rPr>
        <w:t xml:space="preserve">however, </w:t>
      </w:r>
      <w:r w:rsidRPr="000376AA">
        <w:rPr>
          <w:rFonts w:eastAsia="Times New Roman" w:cs="Arial"/>
          <w:szCs w:val="24"/>
        </w:rPr>
        <w:t>the “natural rate” of population also declined from an annual rate of 0.55% to 0.30%; the birth rate fell from 13.2 per 1,000 people to 11.2 and the death rate rose from 7.7 per 1,000 people to 8.2.</w:t>
      </w:r>
      <w:r w:rsidRPr="00925CF5">
        <w:rPr>
          <w:rFonts w:eastAsia="Times New Roman" w:cs="Arial"/>
          <w:szCs w:val="24"/>
          <w:vertAlign w:val="superscript"/>
        </w:rPr>
        <w:endnoteReference w:id="2"/>
      </w:r>
      <w:r w:rsidRPr="000376AA">
        <w:rPr>
          <w:rFonts w:eastAsia="Times New Roman" w:cs="Arial"/>
          <w:szCs w:val="24"/>
        </w:rPr>
        <w:t xml:space="preserve"> </w:t>
      </w:r>
    </w:p>
    <w:p w:rsidR="000376AA" w:rsidRDefault="000376AA" w:rsidP="00925CF5">
      <w:pPr>
        <w:jc w:val="center"/>
      </w:pPr>
    </w:p>
    <w:p w:rsidR="000376AA" w:rsidRDefault="000376AA" w:rsidP="00925CF5">
      <w:pPr>
        <w:jc w:val="center"/>
      </w:pPr>
    </w:p>
    <w:p w:rsidR="000376AA" w:rsidRDefault="000376AA" w:rsidP="00925CF5">
      <w:pPr>
        <w:jc w:val="center"/>
      </w:pPr>
      <w:r>
        <w:rPr>
          <w:noProof/>
        </w:rPr>
        <w:drawing>
          <wp:inline distT="0" distB="0" distL="0" distR="0" wp14:anchorId="5ECE2F40" wp14:editId="26F78E49">
            <wp:extent cx="4639112" cy="3917659"/>
            <wp:effectExtent l="0" t="0" r="9525" b="260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5CF5" w:rsidRDefault="00925CF5" w:rsidP="000E1843"/>
    <w:p w:rsidR="00925CF5" w:rsidRDefault="00925CF5" w:rsidP="000E1843"/>
    <w:p w:rsidR="00925CF5" w:rsidRPr="00925CF5" w:rsidRDefault="00925CF5" w:rsidP="00925CF5">
      <w:r>
        <w:tab/>
      </w:r>
      <w:r w:rsidRPr="00925CF5">
        <w:t>Some perspective on the Puerto Rican population decline is provided by experiences of the states.  Among the states, only Michigan—the epicenter of deindustrialization—and Rhode Island experienced population decline in the 2004 to 2012 period—and only 1.7% and 2.3%, respectively, as compared to Puerto Rico’s 4.2% decline.</w:t>
      </w:r>
    </w:p>
    <w:p w:rsidR="00925CF5" w:rsidRDefault="00925CF5" w:rsidP="000E1843"/>
    <w:p w:rsidR="00925CF5" w:rsidRDefault="00925CF5" w:rsidP="00925CF5">
      <w:r>
        <w:lastRenderedPageBreak/>
        <w:tab/>
        <w:t xml:space="preserve">Puerto Rico’s loss of </w:t>
      </w:r>
      <w:r w:rsidRPr="00925CF5">
        <w:t xml:space="preserve">population </w:t>
      </w:r>
      <w:r>
        <w:t>should not be surprising.</w:t>
      </w:r>
      <w:r w:rsidRPr="00925CF5">
        <w:t xml:space="preserve">  The economic decline has certainly been severe: since the Government Development Bank’s Economic Activity Index peaked at the end of 2005, it has fallen by 18.5%. </w:t>
      </w:r>
      <w:r>
        <w:t xml:space="preserve"> In May</w:t>
      </w:r>
      <w:r w:rsidRPr="00925CF5">
        <w:t xml:space="preserve"> of 2013, this index was lower than in any month since </w:t>
      </w:r>
      <w:r>
        <w:t>July</w:t>
      </w:r>
      <w:r w:rsidRPr="00925CF5">
        <w:t xml:space="preserve"> of 1994.</w:t>
      </w:r>
      <w:r>
        <w:t xml:space="preserve">  Per capita GNP in</w:t>
      </w:r>
      <w:r w:rsidR="00AC6AE8">
        <w:t xml:space="preserve"> 2012 was 9.3% below its 2006 peak, and unemployment had risen from 11% to 15.2% in this period.</w:t>
      </w:r>
      <w:r w:rsidR="00ED7D62">
        <w:t xml:space="preserve"> </w:t>
      </w:r>
      <w:r w:rsidR="00AC6AE8">
        <w:t xml:space="preserve"> </w:t>
      </w:r>
      <w:r w:rsidR="00ED7D62">
        <w:t>E</w:t>
      </w:r>
      <w:r w:rsidR="00AC6AE8">
        <w:t xml:space="preserve">conomic conditions in the states were not good in </w:t>
      </w:r>
      <w:r w:rsidR="00ED7D62">
        <w:t>these years, but they</w:t>
      </w:r>
      <w:r w:rsidR="00AC6AE8">
        <w:t xml:space="preserve"> were substantially better than in Puerto Rico</w:t>
      </w:r>
      <w:r w:rsidR="00ED7D62">
        <w:t>.</w:t>
      </w:r>
      <w:r w:rsidR="00AC6AE8">
        <w:t xml:space="preserve"> </w:t>
      </w:r>
      <w:r w:rsidR="00ED7D62">
        <w:t xml:space="preserve"> T</w:t>
      </w:r>
      <w:r w:rsidR="00AC6AE8">
        <w:t xml:space="preserve">hus the large net-migration to the states is </w:t>
      </w:r>
      <w:r w:rsidR="00ED7D62">
        <w:t xml:space="preserve">readily </w:t>
      </w:r>
      <w:r w:rsidR="00AC6AE8">
        <w:t>understandable.</w:t>
      </w:r>
    </w:p>
    <w:p w:rsidR="00AC6AE8" w:rsidRDefault="00AC6AE8" w:rsidP="00925CF5"/>
    <w:p w:rsidR="00AC6AE8" w:rsidRDefault="00AC6AE8" w:rsidP="00AC6AE8">
      <w:r>
        <w:tab/>
        <w:t xml:space="preserve">The decline of Puerto Rico’s “natural rate” of population growth can also be seen as a consequence of the dire economic conditions.  Although the birth rate has been in decline for many years and must be explained in part by long-run factors, the </w:t>
      </w:r>
      <w:r w:rsidR="004B7A3F">
        <w:t xml:space="preserve">especially </w:t>
      </w:r>
      <w:r>
        <w:t>p</w:t>
      </w:r>
      <w:r w:rsidRPr="00AC6AE8">
        <w:t>oor economic conditions</w:t>
      </w:r>
      <w:r>
        <w:t xml:space="preserve"> of recent years</w:t>
      </w:r>
      <w:r w:rsidR="004B7A3F">
        <w:t xml:space="preserve"> would</w:t>
      </w:r>
      <w:r w:rsidRPr="00AC6AE8">
        <w:t xml:space="preserve"> tend to lead people to put off having children (which may mean they never have them)</w:t>
      </w:r>
      <w:r w:rsidR="004B7A3F">
        <w:t>.  As to the higher death rate, the current economic decline has probably worsened</w:t>
      </w:r>
      <w:r w:rsidRPr="00AC6AE8">
        <w:t xml:space="preserve"> health conditions and thus </w:t>
      </w:r>
      <w:r w:rsidR="004B7A3F">
        <w:t xml:space="preserve">led to </w:t>
      </w:r>
      <w:r w:rsidRPr="00AC6AE8">
        <w:t xml:space="preserve">higher </w:t>
      </w:r>
      <w:r w:rsidR="004B7A3F">
        <w:t>death rates.</w:t>
      </w:r>
    </w:p>
    <w:p w:rsidR="004B7A3F" w:rsidRDefault="004B7A3F" w:rsidP="00AC6AE8"/>
    <w:p w:rsidR="00AC6AE8" w:rsidRPr="004B7A3F" w:rsidRDefault="004B7A3F" w:rsidP="004B7A3F">
      <w:pPr>
        <w:rPr>
          <w:rFonts w:cs="Arial"/>
        </w:rPr>
      </w:pPr>
      <w:r w:rsidRPr="004B7A3F">
        <w:rPr>
          <w:rFonts w:cs="Arial"/>
        </w:rPr>
        <w:tab/>
        <w:t xml:space="preserve">Puerto Rico’s population decline is not simply </w:t>
      </w:r>
      <w:r w:rsidR="00966B4F">
        <w:rPr>
          <w:rFonts w:cs="Arial"/>
        </w:rPr>
        <w:t xml:space="preserve">a sign of </w:t>
      </w:r>
      <w:r w:rsidRPr="004B7A3F">
        <w:rPr>
          <w:rFonts w:cs="Arial"/>
        </w:rPr>
        <w:t xml:space="preserve">an economy in distress, but also portends the possibility of a long-term economic downward spiral. </w:t>
      </w:r>
      <w:r w:rsidRPr="004B7A3F">
        <w:rPr>
          <w:rFonts w:eastAsia="Times New Roman" w:cs="Arial"/>
          <w:szCs w:val="24"/>
        </w:rPr>
        <w:t xml:space="preserve"> The net out-migration is disproportionately young people who are relatively highly educated</w:t>
      </w:r>
      <w:r w:rsidRPr="004B7A3F">
        <w:rPr>
          <w:rFonts w:eastAsia="Times New Roman" w:cs="Arial"/>
          <w:szCs w:val="24"/>
          <w:vertAlign w:val="superscript"/>
        </w:rPr>
        <w:endnoteReference w:id="3"/>
      </w:r>
      <w:r w:rsidRPr="004B7A3F">
        <w:rPr>
          <w:rFonts w:eastAsia="Times New Roman" w:cs="Arial"/>
          <w:szCs w:val="24"/>
        </w:rPr>
        <w:t xml:space="preserve">—that is people who are in their most productive years and who could make a most important positive impact on productivity.  </w:t>
      </w:r>
      <w:r w:rsidR="00ED7D62">
        <w:rPr>
          <w:rFonts w:eastAsia="Times New Roman" w:cs="Arial"/>
          <w:szCs w:val="24"/>
        </w:rPr>
        <w:t>Thus, poor economic conditions generate more out- migration; more out-migration tends to worsen economic conditions; worse economic conditions leads to more out migration; and so</w:t>
      </w:r>
      <w:r w:rsidR="0071688C">
        <w:rPr>
          <w:rFonts w:eastAsia="Times New Roman" w:cs="Arial"/>
          <w:szCs w:val="24"/>
        </w:rPr>
        <w:t xml:space="preserve"> on</w:t>
      </w:r>
      <w:r w:rsidR="00ED7D62">
        <w:rPr>
          <w:rFonts w:eastAsia="Times New Roman" w:cs="Arial"/>
          <w:szCs w:val="24"/>
        </w:rPr>
        <w:t>.</w:t>
      </w:r>
    </w:p>
    <w:p w:rsidR="00925CF5" w:rsidRDefault="00925CF5" w:rsidP="000E1843"/>
    <w:sectPr w:rsidR="00925CF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99A" w:rsidRDefault="0060099A" w:rsidP="000376AA">
      <w:r>
        <w:separator/>
      </w:r>
    </w:p>
  </w:endnote>
  <w:endnote w:type="continuationSeparator" w:id="0">
    <w:p w:rsidR="0060099A" w:rsidRDefault="0060099A" w:rsidP="000376AA">
      <w:r>
        <w:continuationSeparator/>
      </w:r>
    </w:p>
  </w:endnote>
  <w:endnote w:id="1">
    <w:p w:rsidR="00925CF5" w:rsidRPr="00925CF5" w:rsidRDefault="00925CF5">
      <w:pPr>
        <w:pStyle w:val="EndnoteText"/>
        <w:rPr>
          <w:rFonts w:ascii="Arial" w:hAnsi="Arial" w:cs="Arial"/>
        </w:rPr>
      </w:pPr>
      <w:r w:rsidRPr="00925CF5">
        <w:rPr>
          <w:rStyle w:val="EndnoteReference"/>
          <w:rFonts w:ascii="Arial" w:hAnsi="Arial" w:cs="Arial"/>
        </w:rPr>
        <w:endnoteRef/>
      </w:r>
      <w:r w:rsidR="0071688C">
        <w:rPr>
          <w:rFonts w:ascii="Arial" w:hAnsi="Arial" w:cs="Arial"/>
        </w:rPr>
        <w:t xml:space="preserve"> See </w:t>
      </w:r>
      <w:proofErr w:type="spellStart"/>
      <w:r w:rsidR="0071688C">
        <w:rPr>
          <w:rFonts w:ascii="Arial" w:hAnsi="Arial" w:cs="Arial"/>
        </w:rPr>
        <w:t>Idania</w:t>
      </w:r>
      <w:proofErr w:type="spellEnd"/>
      <w:r w:rsidR="0071688C">
        <w:rPr>
          <w:rFonts w:ascii="Arial" w:hAnsi="Arial" w:cs="Arial"/>
        </w:rPr>
        <w:t xml:space="preserve"> R. Rodríguez-</w:t>
      </w:r>
      <w:proofErr w:type="spellStart"/>
      <w:r w:rsidRPr="00925CF5">
        <w:rPr>
          <w:rFonts w:ascii="Arial" w:hAnsi="Arial" w:cs="Arial"/>
        </w:rPr>
        <w:t>Ayuso</w:t>
      </w:r>
      <w:proofErr w:type="spellEnd"/>
      <w:r w:rsidRPr="00925CF5">
        <w:rPr>
          <w:rFonts w:ascii="Arial" w:hAnsi="Arial" w:cs="Arial"/>
        </w:rPr>
        <w:t>, Kimberley</w:t>
      </w:r>
      <w:r w:rsidR="0071688C">
        <w:rPr>
          <w:rFonts w:ascii="Arial" w:hAnsi="Arial" w:cs="Arial"/>
        </w:rPr>
        <w:t xml:space="preserve"> </w:t>
      </w:r>
      <w:proofErr w:type="spellStart"/>
      <w:r w:rsidRPr="00925CF5">
        <w:rPr>
          <w:rFonts w:ascii="Arial" w:hAnsi="Arial" w:cs="Arial"/>
        </w:rPr>
        <w:t>Gee</w:t>
      </w:r>
      <w:r w:rsidR="0071688C">
        <w:rPr>
          <w:rFonts w:ascii="Arial" w:hAnsi="Arial" w:cs="Arial"/>
        </w:rPr>
        <w:t>rman</w:t>
      </w:r>
      <w:proofErr w:type="spellEnd"/>
      <w:r w:rsidR="0071688C">
        <w:rPr>
          <w:rFonts w:ascii="Arial" w:hAnsi="Arial" w:cs="Arial"/>
        </w:rPr>
        <w:t xml:space="preserve"> Santana, and Mario </w:t>
      </w:r>
      <w:proofErr w:type="spellStart"/>
      <w:r w:rsidR="0071688C">
        <w:rPr>
          <w:rFonts w:ascii="Arial" w:hAnsi="Arial" w:cs="Arial"/>
        </w:rPr>
        <w:t>Marazzi</w:t>
      </w:r>
      <w:proofErr w:type="spellEnd"/>
      <w:r w:rsidR="0071688C">
        <w:rPr>
          <w:rFonts w:ascii="Arial" w:hAnsi="Arial" w:cs="Arial"/>
        </w:rPr>
        <w:t>-</w:t>
      </w:r>
      <w:r w:rsidRPr="00925CF5">
        <w:rPr>
          <w:rFonts w:ascii="Arial" w:hAnsi="Arial" w:cs="Arial"/>
        </w:rPr>
        <w:t xml:space="preserve">Santiago, </w:t>
      </w:r>
      <w:proofErr w:type="spellStart"/>
      <w:r w:rsidRPr="00925CF5">
        <w:rPr>
          <w:rFonts w:ascii="Arial" w:hAnsi="Arial" w:cs="Arial"/>
        </w:rPr>
        <w:t>Perfil</w:t>
      </w:r>
      <w:proofErr w:type="spellEnd"/>
      <w:r w:rsidRPr="00925CF5">
        <w:rPr>
          <w:rFonts w:ascii="Arial" w:hAnsi="Arial" w:cs="Arial"/>
        </w:rPr>
        <w:t xml:space="preserve"> del </w:t>
      </w:r>
      <w:proofErr w:type="spellStart"/>
      <w:r w:rsidRPr="00925CF5">
        <w:rPr>
          <w:rFonts w:ascii="Arial" w:hAnsi="Arial" w:cs="Arial"/>
        </w:rPr>
        <w:t>Migante</w:t>
      </w:r>
      <w:proofErr w:type="spellEnd"/>
      <w:r w:rsidRPr="00925CF5">
        <w:rPr>
          <w:rFonts w:ascii="Arial" w:hAnsi="Arial" w:cs="Arial"/>
        </w:rPr>
        <w:t xml:space="preserve"> 2011, </w:t>
      </w:r>
      <w:proofErr w:type="spellStart"/>
      <w:r w:rsidRPr="00925CF5">
        <w:rPr>
          <w:rFonts w:ascii="Arial" w:eastAsia="Calibri" w:hAnsi="Arial" w:cs="Arial"/>
        </w:rPr>
        <w:t>Instituto</w:t>
      </w:r>
      <w:proofErr w:type="spellEnd"/>
      <w:r w:rsidRPr="00925CF5">
        <w:rPr>
          <w:rFonts w:ascii="Arial" w:eastAsia="Calibri" w:hAnsi="Arial" w:cs="Arial"/>
        </w:rPr>
        <w:t xml:space="preserve"> de </w:t>
      </w:r>
      <w:proofErr w:type="spellStart"/>
      <w:r w:rsidRPr="00925CF5">
        <w:rPr>
          <w:rFonts w:ascii="Arial" w:eastAsia="Calibri" w:hAnsi="Arial" w:cs="Arial"/>
        </w:rPr>
        <w:t>Estadísticas</w:t>
      </w:r>
      <w:proofErr w:type="spellEnd"/>
      <w:r w:rsidRPr="00925CF5">
        <w:rPr>
          <w:rFonts w:ascii="Arial" w:eastAsia="Calibri" w:hAnsi="Arial" w:cs="Arial"/>
        </w:rPr>
        <w:t xml:space="preserve"> de Puerto Rico, </w:t>
      </w:r>
      <w:r w:rsidRPr="00925CF5">
        <w:rPr>
          <w:rFonts w:ascii="Arial" w:hAnsi="Arial" w:cs="Arial"/>
        </w:rPr>
        <w:t xml:space="preserve">16 de </w:t>
      </w:r>
      <w:proofErr w:type="spellStart"/>
      <w:r w:rsidRPr="00925CF5">
        <w:rPr>
          <w:rFonts w:ascii="Arial" w:hAnsi="Arial" w:cs="Arial"/>
        </w:rPr>
        <w:t>enero</w:t>
      </w:r>
      <w:proofErr w:type="spellEnd"/>
      <w:r w:rsidRPr="00925CF5">
        <w:rPr>
          <w:rFonts w:ascii="Arial" w:hAnsi="Arial" w:cs="Arial"/>
        </w:rPr>
        <w:t xml:space="preserve"> de 2013, </w:t>
      </w:r>
      <w:hyperlink r:id="rId1" w:history="1">
        <w:r w:rsidRPr="00925CF5">
          <w:rPr>
            <w:rFonts w:ascii="Arial" w:hAnsi="Arial" w:cs="Arial"/>
            <w:color w:val="0000FF"/>
            <w:u w:val="single"/>
          </w:rPr>
          <w:t>http://www.estadisticas.gobierno.pr/iepr/LinkClick.aspx?fileticket=9qCLtkwFQnc%3d&amp;tabid=165</w:t>
        </w:r>
      </w:hyperlink>
      <w:r w:rsidR="0071688C">
        <w:rPr>
          <w:rFonts w:ascii="Arial" w:hAnsi="Arial" w:cs="Arial"/>
        </w:rPr>
        <w:t xml:space="preserve"> and </w:t>
      </w:r>
      <w:proofErr w:type="spellStart"/>
      <w:r w:rsidR="0071688C">
        <w:rPr>
          <w:rFonts w:ascii="Arial" w:hAnsi="Arial" w:cs="Arial"/>
        </w:rPr>
        <w:t>Idania</w:t>
      </w:r>
      <w:proofErr w:type="spellEnd"/>
      <w:r w:rsidR="0071688C">
        <w:rPr>
          <w:rFonts w:ascii="Arial" w:hAnsi="Arial" w:cs="Arial"/>
        </w:rPr>
        <w:t xml:space="preserve"> Rodríguez-</w:t>
      </w:r>
      <w:proofErr w:type="spellStart"/>
      <w:r w:rsidRPr="00925CF5">
        <w:rPr>
          <w:rFonts w:ascii="Arial" w:hAnsi="Arial" w:cs="Arial"/>
        </w:rPr>
        <w:t>Ayuso</w:t>
      </w:r>
      <w:proofErr w:type="spellEnd"/>
      <w:r w:rsidRPr="00925CF5">
        <w:rPr>
          <w:rFonts w:ascii="Arial" w:hAnsi="Arial" w:cs="Arial"/>
        </w:rPr>
        <w:t xml:space="preserve">, </w:t>
      </w:r>
      <w:proofErr w:type="spellStart"/>
      <w:r w:rsidRPr="00925CF5">
        <w:rPr>
          <w:rFonts w:ascii="Arial" w:hAnsi="Arial" w:cs="Arial"/>
        </w:rPr>
        <w:t>Pefil</w:t>
      </w:r>
      <w:proofErr w:type="spellEnd"/>
      <w:r w:rsidRPr="00925CF5">
        <w:rPr>
          <w:rFonts w:ascii="Arial" w:hAnsi="Arial" w:cs="Arial"/>
        </w:rPr>
        <w:t xml:space="preserve"> del </w:t>
      </w:r>
      <w:proofErr w:type="spellStart"/>
      <w:r w:rsidRPr="00925CF5">
        <w:rPr>
          <w:rFonts w:ascii="Arial" w:hAnsi="Arial" w:cs="Arial"/>
        </w:rPr>
        <w:t>Migrante</w:t>
      </w:r>
      <w:proofErr w:type="spellEnd"/>
      <w:r w:rsidRPr="00925CF5">
        <w:rPr>
          <w:rFonts w:ascii="Arial" w:hAnsi="Arial" w:cs="Arial"/>
        </w:rPr>
        <w:t xml:space="preserve"> 2010, , </w:t>
      </w:r>
      <w:proofErr w:type="spellStart"/>
      <w:r w:rsidRPr="00925CF5">
        <w:rPr>
          <w:rFonts w:ascii="Arial" w:eastAsia="Calibri" w:hAnsi="Arial" w:cs="Arial"/>
        </w:rPr>
        <w:t>Instituto</w:t>
      </w:r>
      <w:proofErr w:type="spellEnd"/>
      <w:r w:rsidRPr="00925CF5">
        <w:rPr>
          <w:rFonts w:ascii="Arial" w:eastAsia="Calibri" w:hAnsi="Arial" w:cs="Arial"/>
        </w:rPr>
        <w:t xml:space="preserve"> de </w:t>
      </w:r>
      <w:proofErr w:type="spellStart"/>
      <w:r w:rsidRPr="00925CF5">
        <w:rPr>
          <w:rFonts w:ascii="Arial" w:eastAsia="Calibri" w:hAnsi="Arial" w:cs="Arial"/>
        </w:rPr>
        <w:t>Estadísticas</w:t>
      </w:r>
      <w:proofErr w:type="spellEnd"/>
      <w:r w:rsidRPr="00925CF5">
        <w:rPr>
          <w:rFonts w:ascii="Arial" w:eastAsia="Calibri" w:hAnsi="Arial" w:cs="Arial"/>
        </w:rPr>
        <w:t xml:space="preserve"> de Puerto Rico, 28 de </w:t>
      </w:r>
      <w:proofErr w:type="spellStart"/>
      <w:r w:rsidRPr="00925CF5">
        <w:rPr>
          <w:rFonts w:ascii="Arial" w:eastAsia="Calibri" w:hAnsi="Arial" w:cs="Arial"/>
        </w:rPr>
        <w:t>diciembre</w:t>
      </w:r>
      <w:proofErr w:type="spellEnd"/>
      <w:r w:rsidRPr="00925CF5">
        <w:rPr>
          <w:rFonts w:ascii="Arial" w:eastAsia="Calibri" w:hAnsi="Arial" w:cs="Arial"/>
        </w:rPr>
        <w:t xml:space="preserve"> de 2011, </w:t>
      </w:r>
      <w:hyperlink r:id="rId2" w:history="1">
        <w:r w:rsidRPr="00925CF5">
          <w:rPr>
            <w:rFonts w:ascii="Arial" w:hAnsi="Arial" w:cs="Arial"/>
            <w:color w:val="0000FF"/>
            <w:u w:val="single"/>
          </w:rPr>
          <w:t>http://www.estadisticas.gobierno.pr/iepr/LinkClick.aspx?fileticket=7G4LjzMFoEM%3d&amp;tabid=165</w:t>
        </w:r>
      </w:hyperlink>
      <w:r w:rsidRPr="00925CF5">
        <w:rPr>
          <w:rFonts w:ascii="Arial" w:hAnsi="Arial" w:cs="Arial"/>
        </w:rPr>
        <w:t>.</w:t>
      </w:r>
    </w:p>
    <w:p w:rsidR="00925CF5" w:rsidRPr="00925CF5" w:rsidRDefault="00925CF5">
      <w:pPr>
        <w:pStyle w:val="EndnoteText"/>
        <w:rPr>
          <w:rFonts w:ascii="Arial" w:hAnsi="Arial" w:cs="Arial"/>
        </w:rPr>
      </w:pPr>
    </w:p>
  </w:endnote>
  <w:endnote w:id="2">
    <w:p w:rsidR="000376AA" w:rsidRPr="00925CF5" w:rsidRDefault="000376AA" w:rsidP="000376AA">
      <w:pPr>
        <w:pStyle w:val="EndnoteText"/>
        <w:rPr>
          <w:rFonts w:ascii="Arial" w:hAnsi="Arial" w:cs="Arial"/>
        </w:rPr>
      </w:pPr>
      <w:r w:rsidRPr="00925CF5">
        <w:rPr>
          <w:rStyle w:val="EndnoteReference"/>
          <w:rFonts w:ascii="Arial" w:hAnsi="Arial" w:cs="Arial"/>
        </w:rPr>
        <w:endnoteRef/>
      </w:r>
      <w:r w:rsidRPr="00925CF5">
        <w:rPr>
          <w:rFonts w:ascii="Arial" w:hAnsi="Arial" w:cs="Arial"/>
        </w:rPr>
        <w:t xml:space="preserve"> Government Development Bank of Puerto Rico, </w:t>
      </w:r>
      <w:hyperlink r:id="rId3" w:history="1">
        <w:r w:rsidRPr="00925CF5">
          <w:rPr>
            <w:rFonts w:ascii="Arial" w:hAnsi="Arial" w:cs="Arial"/>
            <w:color w:val="0000FF"/>
            <w:u w:val="single"/>
          </w:rPr>
          <w:t>http://www.gdb-pur.com/economy/statistical-appendix.html</w:t>
        </w:r>
      </w:hyperlink>
      <w:r w:rsidR="0071688C">
        <w:rPr>
          <w:rFonts w:ascii="Arial" w:hAnsi="Arial" w:cs="Arial"/>
        </w:rPr>
        <w:t>.</w:t>
      </w:r>
    </w:p>
    <w:p w:rsidR="000376AA" w:rsidRPr="00925CF5" w:rsidRDefault="000376AA" w:rsidP="000376AA">
      <w:pPr>
        <w:pStyle w:val="EndnoteText"/>
        <w:rPr>
          <w:rFonts w:ascii="Arial" w:hAnsi="Arial" w:cs="Arial"/>
        </w:rPr>
      </w:pPr>
    </w:p>
  </w:endnote>
  <w:endnote w:id="3">
    <w:p w:rsidR="004B7A3F" w:rsidRPr="00F55386" w:rsidRDefault="004B7A3F" w:rsidP="004B7A3F">
      <w:pPr>
        <w:rPr>
          <w:sz w:val="20"/>
          <w:szCs w:val="20"/>
        </w:rPr>
      </w:pPr>
      <w:r>
        <w:rPr>
          <w:rStyle w:val="EndnoteReference"/>
        </w:rPr>
        <w:endnoteRef/>
      </w:r>
      <w:r>
        <w:t xml:space="preserve"> </w:t>
      </w:r>
      <w:r>
        <w:rPr>
          <w:sz w:val="20"/>
          <w:szCs w:val="20"/>
        </w:rPr>
        <w:t xml:space="preserve"> See the reports cited in note 1.</w:t>
      </w:r>
    </w:p>
    <w:p w:rsidR="004B7A3F" w:rsidRDefault="004B7A3F" w:rsidP="004B7A3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99A" w:rsidRDefault="0060099A" w:rsidP="000376AA">
      <w:r>
        <w:separator/>
      </w:r>
    </w:p>
  </w:footnote>
  <w:footnote w:type="continuationSeparator" w:id="0">
    <w:p w:rsidR="0060099A" w:rsidRDefault="0060099A" w:rsidP="00037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AA"/>
    <w:rsid w:val="000348E0"/>
    <w:rsid w:val="000376AA"/>
    <w:rsid w:val="000E1843"/>
    <w:rsid w:val="002D6B48"/>
    <w:rsid w:val="00466A34"/>
    <w:rsid w:val="004B7A3F"/>
    <w:rsid w:val="0060099A"/>
    <w:rsid w:val="006A67AF"/>
    <w:rsid w:val="0071688C"/>
    <w:rsid w:val="00775081"/>
    <w:rsid w:val="00836190"/>
    <w:rsid w:val="00901721"/>
    <w:rsid w:val="009229CF"/>
    <w:rsid w:val="00922C39"/>
    <w:rsid w:val="00925CF5"/>
    <w:rsid w:val="00966B4F"/>
    <w:rsid w:val="00AC6AE8"/>
    <w:rsid w:val="00C15EF6"/>
    <w:rsid w:val="00ED7D62"/>
    <w:rsid w:val="00F5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6AA"/>
    <w:rPr>
      <w:rFonts w:ascii="Tahoma" w:hAnsi="Tahoma" w:cs="Tahoma"/>
      <w:sz w:val="16"/>
      <w:szCs w:val="16"/>
    </w:rPr>
  </w:style>
  <w:style w:type="character" w:customStyle="1" w:styleId="BalloonTextChar">
    <w:name w:val="Balloon Text Char"/>
    <w:basedOn w:val="DefaultParagraphFont"/>
    <w:link w:val="BalloonText"/>
    <w:uiPriority w:val="99"/>
    <w:semiHidden/>
    <w:rsid w:val="000376AA"/>
    <w:rPr>
      <w:rFonts w:ascii="Tahoma" w:hAnsi="Tahoma" w:cs="Tahoma"/>
      <w:sz w:val="16"/>
      <w:szCs w:val="16"/>
    </w:rPr>
  </w:style>
  <w:style w:type="paragraph" w:styleId="EndnoteText">
    <w:name w:val="endnote text"/>
    <w:basedOn w:val="Normal"/>
    <w:link w:val="EndnoteTextChar"/>
    <w:rsid w:val="000376AA"/>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0376AA"/>
    <w:rPr>
      <w:rFonts w:ascii="Times New Roman" w:eastAsia="Times New Roman" w:hAnsi="Times New Roman" w:cs="Times New Roman"/>
      <w:sz w:val="20"/>
      <w:szCs w:val="20"/>
    </w:rPr>
  </w:style>
  <w:style w:type="character" w:styleId="EndnoteReference">
    <w:name w:val="endnote reference"/>
    <w:rsid w:val="000376AA"/>
    <w:rPr>
      <w:vertAlign w:val="superscript"/>
    </w:rPr>
  </w:style>
  <w:style w:type="character" w:styleId="Hyperlink">
    <w:name w:val="Hyperlink"/>
    <w:basedOn w:val="DefaultParagraphFont"/>
    <w:uiPriority w:val="99"/>
    <w:unhideWhenUsed/>
    <w:rsid w:val="00AC6A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6AA"/>
    <w:rPr>
      <w:rFonts w:ascii="Tahoma" w:hAnsi="Tahoma" w:cs="Tahoma"/>
      <w:sz w:val="16"/>
      <w:szCs w:val="16"/>
    </w:rPr>
  </w:style>
  <w:style w:type="character" w:customStyle="1" w:styleId="BalloonTextChar">
    <w:name w:val="Balloon Text Char"/>
    <w:basedOn w:val="DefaultParagraphFont"/>
    <w:link w:val="BalloonText"/>
    <w:uiPriority w:val="99"/>
    <w:semiHidden/>
    <w:rsid w:val="000376AA"/>
    <w:rPr>
      <w:rFonts w:ascii="Tahoma" w:hAnsi="Tahoma" w:cs="Tahoma"/>
      <w:sz w:val="16"/>
      <w:szCs w:val="16"/>
    </w:rPr>
  </w:style>
  <w:style w:type="paragraph" w:styleId="EndnoteText">
    <w:name w:val="endnote text"/>
    <w:basedOn w:val="Normal"/>
    <w:link w:val="EndnoteTextChar"/>
    <w:rsid w:val="000376AA"/>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0376AA"/>
    <w:rPr>
      <w:rFonts w:ascii="Times New Roman" w:eastAsia="Times New Roman" w:hAnsi="Times New Roman" w:cs="Times New Roman"/>
      <w:sz w:val="20"/>
      <w:szCs w:val="20"/>
    </w:rPr>
  </w:style>
  <w:style w:type="character" w:styleId="EndnoteReference">
    <w:name w:val="endnote reference"/>
    <w:rsid w:val="000376AA"/>
    <w:rPr>
      <w:vertAlign w:val="superscript"/>
    </w:rPr>
  </w:style>
  <w:style w:type="character" w:styleId="Hyperlink">
    <w:name w:val="Hyperlink"/>
    <w:basedOn w:val="DefaultParagraphFont"/>
    <w:uiPriority w:val="99"/>
    <w:unhideWhenUsed/>
    <w:rsid w:val="00AC6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gdb-pur.com/economy/statistical-appendix.html" TargetMode="External"/><Relationship Id="rId2" Type="http://schemas.openxmlformats.org/officeDocument/2006/relationships/hyperlink" Target="http://www.estadisticas.gobierno.pr/iepr/LinkClick.aspx?fileticket=7G4LjzMFoEM%3d&amp;tabid=165" TargetMode="External"/><Relationship Id="rId1" Type="http://schemas.openxmlformats.org/officeDocument/2006/relationships/hyperlink" Target="http://www.estadisticas.gobierno.pr/iepr/LinkClick.aspx?fileticket=9qCLtkwFQnc%3d&amp;tabid=16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The Population of Puerto Rico, </a:t>
            </a:r>
          </a:p>
          <a:p>
            <a:pPr>
              <a:defRPr/>
            </a:pPr>
            <a:r>
              <a:rPr lang="en-US" sz="1400"/>
              <a:t>2000-2012 </a:t>
            </a:r>
          </a:p>
        </c:rich>
      </c:tx>
      <c:layout>
        <c:manualLayout>
          <c:xMode val="edge"/>
          <c:yMode val="edge"/>
          <c:x val="0.16788881147943829"/>
          <c:y val="1.9452099205705949E-2"/>
        </c:manualLayout>
      </c:layout>
      <c:overlay val="0"/>
    </c:title>
    <c:autoTitleDeleted val="0"/>
    <c:plotArea>
      <c:layout/>
      <c:barChart>
        <c:barDir val="col"/>
        <c:grouping val="clustered"/>
        <c:varyColors val="0"/>
        <c:ser>
          <c:idx val="0"/>
          <c:order val="0"/>
          <c:tx>
            <c:strRef>
              <c:f>Sheet1!$A$4</c:f>
              <c:strCache>
                <c:ptCount val="1"/>
                <c:pt idx="0">
                  <c:v>Puerto Rico</c:v>
                </c:pt>
              </c:strCache>
            </c:strRef>
          </c:tx>
          <c:invertIfNegative val="0"/>
          <c:cat>
            <c:numRef>
              <c:f>Sheet1!$B$3:$N$3</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Sheet1!$B$4:$N$4</c:f>
              <c:numCache>
                <c:formatCode>#,##0</c:formatCode>
                <c:ptCount val="13"/>
                <c:pt idx="0">
                  <c:v>3810605</c:v>
                </c:pt>
                <c:pt idx="1">
                  <c:v>3818774</c:v>
                </c:pt>
                <c:pt idx="2">
                  <c:v>3823701</c:v>
                </c:pt>
                <c:pt idx="3">
                  <c:v>3826095</c:v>
                </c:pt>
                <c:pt idx="4">
                  <c:v>3826878</c:v>
                </c:pt>
                <c:pt idx="5">
                  <c:v>3821362</c:v>
                </c:pt>
                <c:pt idx="6">
                  <c:v>3805214</c:v>
                </c:pt>
                <c:pt idx="7">
                  <c:v>3782995</c:v>
                </c:pt>
                <c:pt idx="8">
                  <c:v>3760866</c:v>
                </c:pt>
                <c:pt idx="9">
                  <c:v>3740410</c:v>
                </c:pt>
                <c:pt idx="10">
                  <c:v>3721208</c:v>
                </c:pt>
                <c:pt idx="11">
                  <c:v>3694093</c:v>
                </c:pt>
                <c:pt idx="12">
                  <c:v>3667084</c:v>
                </c:pt>
              </c:numCache>
            </c:numRef>
          </c:val>
        </c:ser>
        <c:dLbls>
          <c:showLegendKey val="0"/>
          <c:showVal val="0"/>
          <c:showCatName val="0"/>
          <c:showSerName val="0"/>
          <c:showPercent val="0"/>
          <c:showBubbleSize val="0"/>
        </c:dLbls>
        <c:gapWidth val="150"/>
        <c:axId val="185892864"/>
        <c:axId val="111895296"/>
      </c:barChart>
      <c:catAx>
        <c:axId val="185892864"/>
        <c:scaling>
          <c:orientation val="minMax"/>
        </c:scaling>
        <c:delete val="0"/>
        <c:axPos val="b"/>
        <c:title>
          <c:tx>
            <c:rich>
              <a:bodyPr/>
              <a:lstStyle/>
              <a:p>
                <a:pPr algn="l">
                  <a:defRPr/>
                </a:pPr>
                <a:r>
                  <a:rPr lang="en-US" sz="900" b="0"/>
                  <a:t>Source:</a:t>
                </a:r>
                <a:r>
                  <a:rPr lang="en-US" sz="900" b="0" baseline="0"/>
                  <a:t> U.S. Census, www.census.gov/popest/data/puerto_rico/totals/2012/index.html and www.census.gov/popest/data/intercensal/puerto_rico/pr2010.html</a:t>
                </a:r>
                <a:r>
                  <a:rPr lang="en-US" baseline="0"/>
                  <a:t>.</a:t>
                </a:r>
                <a:endParaRPr lang="en-US"/>
              </a:p>
            </c:rich>
          </c:tx>
          <c:layout>
            <c:manualLayout>
              <c:xMode val="edge"/>
              <c:yMode val="edge"/>
              <c:x val="0.14449877476551548"/>
              <c:y val="0.87947790769953404"/>
            </c:manualLayout>
          </c:layout>
          <c:overlay val="0"/>
        </c:title>
        <c:numFmt formatCode="General" sourceLinked="1"/>
        <c:majorTickMark val="out"/>
        <c:minorTickMark val="none"/>
        <c:tickLblPos val="nextTo"/>
        <c:crossAx val="111895296"/>
        <c:crosses val="autoZero"/>
        <c:auto val="1"/>
        <c:lblAlgn val="ctr"/>
        <c:lblOffset val="100"/>
        <c:noMultiLvlLbl val="0"/>
      </c:catAx>
      <c:valAx>
        <c:axId val="111895296"/>
        <c:scaling>
          <c:orientation val="minMax"/>
        </c:scaling>
        <c:delete val="0"/>
        <c:axPos val="l"/>
        <c:majorGridlines/>
        <c:numFmt formatCode="#,##0" sourceLinked="1"/>
        <c:majorTickMark val="out"/>
        <c:minorTickMark val="none"/>
        <c:tickLblPos val="nextTo"/>
        <c:crossAx val="1858928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75A32-78D6-4F48-AE4F-6A5D327D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MacEwan</dc:creator>
  <cp:lastModifiedBy>Arthur MacEwan</cp:lastModifiedBy>
  <cp:revision>2</cp:revision>
  <dcterms:created xsi:type="dcterms:W3CDTF">2013-09-30T19:29:00Z</dcterms:created>
  <dcterms:modified xsi:type="dcterms:W3CDTF">2013-09-30T19:29:00Z</dcterms:modified>
</cp:coreProperties>
</file>