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E2" w:rsidRDefault="00CF60E2" w:rsidP="00497F2D">
      <w:pPr>
        <w:rPr>
          <w:b/>
        </w:rPr>
      </w:pPr>
      <w:bookmarkStart w:id="0" w:name="_GoBack"/>
      <w:bookmarkEnd w:id="0"/>
    </w:p>
    <w:p w:rsidR="002757A6" w:rsidRPr="002757A6" w:rsidRDefault="002757A6" w:rsidP="002757A6">
      <w:pPr>
        <w:autoSpaceDE w:val="0"/>
        <w:autoSpaceDN w:val="0"/>
        <w:adjustRightInd w:val="0"/>
        <w:ind w:firstLine="720"/>
        <w:jc w:val="center"/>
        <w:rPr>
          <w:rFonts w:ascii="Arial" w:hAnsi="Arial" w:cs="Arial"/>
          <w:sz w:val="28"/>
          <w:szCs w:val="28"/>
        </w:rPr>
      </w:pPr>
    </w:p>
    <w:p w:rsidR="002757A6" w:rsidRPr="002757A6" w:rsidRDefault="007C4657" w:rsidP="002757A6">
      <w:pPr>
        <w:autoSpaceDE w:val="0"/>
        <w:autoSpaceDN w:val="0"/>
        <w:adjustRightInd w:val="0"/>
        <w:jc w:val="center"/>
        <w:rPr>
          <w:rFonts w:ascii="Arial" w:hAnsi="Arial" w:cs="Arial"/>
          <w:sz w:val="28"/>
          <w:szCs w:val="28"/>
        </w:rPr>
      </w:pPr>
      <w:r>
        <w:rPr>
          <w:rFonts w:ascii="Arial" w:hAnsi="Arial" w:cs="Arial"/>
          <w:sz w:val="28"/>
          <w:szCs w:val="28"/>
        </w:rPr>
        <w:t>Puerto Rico’s Economic Deterioration</w:t>
      </w:r>
      <w:r w:rsidR="002757A6" w:rsidRPr="002757A6">
        <w:rPr>
          <w:rFonts w:ascii="Arial" w:hAnsi="Arial" w:cs="Arial"/>
          <w:sz w:val="28"/>
          <w:szCs w:val="28"/>
        </w:rPr>
        <w:t xml:space="preserve"> of Recent Years</w:t>
      </w:r>
    </w:p>
    <w:p w:rsidR="002757A6" w:rsidRDefault="002757A6" w:rsidP="00C06A9C">
      <w:pPr>
        <w:autoSpaceDE w:val="0"/>
        <w:autoSpaceDN w:val="0"/>
        <w:adjustRightInd w:val="0"/>
        <w:ind w:firstLine="720"/>
      </w:pPr>
    </w:p>
    <w:p w:rsidR="002757A6" w:rsidRDefault="002757A6" w:rsidP="00C06A9C">
      <w:pPr>
        <w:autoSpaceDE w:val="0"/>
        <w:autoSpaceDN w:val="0"/>
        <w:adjustRightInd w:val="0"/>
        <w:ind w:firstLine="720"/>
      </w:pPr>
    </w:p>
    <w:p w:rsidR="00072AD6" w:rsidRPr="002757A6" w:rsidRDefault="00C06A9C" w:rsidP="00C06A9C">
      <w:pPr>
        <w:autoSpaceDE w:val="0"/>
        <w:autoSpaceDN w:val="0"/>
        <w:adjustRightInd w:val="0"/>
        <w:ind w:firstLine="720"/>
        <w:rPr>
          <w:rFonts w:ascii="Arial" w:eastAsia="Calibri" w:hAnsi="Arial" w:cs="Arial"/>
          <w:szCs w:val="22"/>
        </w:rPr>
      </w:pPr>
      <w:r w:rsidRPr="002757A6">
        <w:rPr>
          <w:rFonts w:ascii="Arial" w:hAnsi="Arial" w:cs="Arial"/>
        </w:rPr>
        <w:t>Economic growth in Puerto Rico has been slow for decades.  In recent years, however, the economy has deteriorated especially sharply.  A useful measure of the economic decline is</w:t>
      </w:r>
      <w:r w:rsidR="002C670A" w:rsidRPr="002757A6">
        <w:rPr>
          <w:rFonts w:ascii="Arial" w:hAnsi="Arial" w:cs="Arial"/>
        </w:rPr>
        <w:t xml:space="preserve"> provided by the Government Development Bank’s Economic A</w:t>
      </w:r>
      <w:r w:rsidRPr="002757A6">
        <w:rPr>
          <w:rFonts w:ascii="Arial" w:hAnsi="Arial" w:cs="Arial"/>
        </w:rPr>
        <w:t>ctivity Index, shown in Figure 1</w:t>
      </w:r>
      <w:r w:rsidR="002C670A" w:rsidRPr="002757A6">
        <w:rPr>
          <w:rFonts w:ascii="Arial" w:hAnsi="Arial" w:cs="Arial"/>
        </w:rPr>
        <w:t xml:space="preserve"> for the 2003-2013 </w:t>
      </w:r>
      <w:proofErr w:type="gramStart"/>
      <w:r w:rsidR="002C670A" w:rsidRPr="002757A6">
        <w:rPr>
          <w:rFonts w:ascii="Arial" w:hAnsi="Arial" w:cs="Arial"/>
        </w:rPr>
        <w:t>period</w:t>
      </w:r>
      <w:proofErr w:type="gramEnd"/>
      <w:r w:rsidR="002C670A" w:rsidRPr="002757A6">
        <w:rPr>
          <w:rFonts w:ascii="Arial" w:hAnsi="Arial" w:cs="Arial"/>
        </w:rPr>
        <w:t xml:space="preserve">.  In the fiscal year that has just ended, the Index had fallen by 15.6% from its </w:t>
      </w:r>
      <w:r w:rsidR="00072AD6" w:rsidRPr="002757A6">
        <w:rPr>
          <w:rFonts w:ascii="Arial" w:hAnsi="Arial" w:cs="Arial"/>
        </w:rPr>
        <w:t xml:space="preserve">peak in 2006.  Furthermore, although the Index for 2012 and 2013 was slightly higher than for 2011, it has been falling steadily since November 2012, and the May 2013 figure of </w:t>
      </w:r>
      <w:r w:rsidR="00072AD6" w:rsidRPr="002757A6">
        <w:rPr>
          <w:rFonts w:ascii="Arial" w:eastAsia="Calibri" w:hAnsi="Arial" w:cs="Arial"/>
          <w:szCs w:val="22"/>
        </w:rPr>
        <w:t xml:space="preserve">126.7 was 3.4% below the May 2012 figure.  Also, the May 2013 figure was lower than </w:t>
      </w:r>
      <w:r w:rsidR="00263515">
        <w:rPr>
          <w:rFonts w:ascii="Arial" w:eastAsia="Calibri" w:hAnsi="Arial" w:cs="Arial"/>
          <w:szCs w:val="22"/>
        </w:rPr>
        <w:t>in any month since</w:t>
      </w:r>
      <w:r w:rsidR="00072AD6" w:rsidRPr="002757A6">
        <w:rPr>
          <w:rFonts w:ascii="Arial" w:eastAsia="Calibri" w:hAnsi="Arial" w:cs="Arial"/>
          <w:szCs w:val="22"/>
        </w:rPr>
        <w:t xml:space="preserve"> July of 1994.</w:t>
      </w:r>
      <w:r w:rsidR="006721C0" w:rsidRPr="002757A6">
        <w:rPr>
          <w:rStyle w:val="EndnoteReference"/>
          <w:rFonts w:ascii="Arial" w:eastAsia="Calibri" w:hAnsi="Arial" w:cs="Arial"/>
          <w:szCs w:val="22"/>
        </w:rPr>
        <w:endnoteReference w:id="1"/>
      </w:r>
    </w:p>
    <w:p w:rsidR="00072AD6" w:rsidRDefault="00072AD6" w:rsidP="002757A6">
      <w:pPr>
        <w:jc w:val="center"/>
      </w:pPr>
    </w:p>
    <w:p w:rsidR="00AD3F95" w:rsidRDefault="004A6A42" w:rsidP="002757A6">
      <w:pPr>
        <w:jc w:val="center"/>
      </w:pPr>
      <w:r>
        <w:rPr>
          <w:noProof/>
        </w:rPr>
        <w:drawing>
          <wp:inline distT="0" distB="0" distL="0" distR="0" wp14:anchorId="70938D17" wp14:editId="67989168">
            <wp:extent cx="4966283" cy="3481431"/>
            <wp:effectExtent l="0" t="0" r="25400" b="241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D3F95" w:rsidRDefault="00AD3F95" w:rsidP="00497F2D"/>
    <w:p w:rsidR="002757A6" w:rsidRDefault="002757A6" w:rsidP="002757A6"/>
    <w:p w:rsidR="002757A6" w:rsidRPr="002757A6" w:rsidRDefault="00072AD6" w:rsidP="002757A6">
      <w:pPr>
        <w:ind w:firstLine="720"/>
        <w:rPr>
          <w:rFonts w:ascii="Arial" w:hAnsi="Arial" w:cs="Arial"/>
        </w:rPr>
      </w:pPr>
      <w:r w:rsidRPr="002757A6">
        <w:rPr>
          <w:rFonts w:ascii="Arial" w:hAnsi="Arial" w:cs="Arial"/>
        </w:rPr>
        <w:t>The Government Development Bank’s Index is especially useful because the official Puerto Rican aggregate economic data are so very poor and unreli</w:t>
      </w:r>
      <w:r w:rsidR="00C06A9C" w:rsidRPr="002757A6">
        <w:rPr>
          <w:rFonts w:ascii="Arial" w:hAnsi="Arial" w:cs="Arial"/>
        </w:rPr>
        <w:t>able</w:t>
      </w:r>
      <w:r w:rsidR="0046496D" w:rsidRPr="002757A6">
        <w:rPr>
          <w:rFonts w:ascii="Arial" w:hAnsi="Arial" w:cs="Arial"/>
        </w:rPr>
        <w:t>.</w:t>
      </w:r>
      <w:r w:rsidR="00F41443" w:rsidRPr="002757A6">
        <w:rPr>
          <w:rStyle w:val="EndnoteReference"/>
          <w:rFonts w:ascii="Arial" w:hAnsi="Arial" w:cs="Arial"/>
        </w:rPr>
        <w:endnoteReference w:id="2"/>
      </w:r>
      <w:r w:rsidR="0046496D" w:rsidRPr="002757A6">
        <w:rPr>
          <w:rFonts w:ascii="Arial" w:hAnsi="Arial" w:cs="Arial"/>
        </w:rPr>
        <w:t xml:space="preserve"> </w:t>
      </w:r>
      <w:r w:rsidR="00F12D8F">
        <w:rPr>
          <w:rFonts w:ascii="Arial" w:hAnsi="Arial" w:cs="Arial"/>
        </w:rPr>
        <w:t xml:space="preserve"> </w:t>
      </w:r>
      <w:r w:rsidR="002757A6" w:rsidRPr="002757A6">
        <w:rPr>
          <w:rFonts w:ascii="Arial" w:hAnsi="Arial" w:cs="Arial"/>
        </w:rPr>
        <w:t>The official data do,</w:t>
      </w:r>
      <w:r w:rsidR="0046496D" w:rsidRPr="002757A6">
        <w:rPr>
          <w:rFonts w:ascii="Arial" w:hAnsi="Arial" w:cs="Arial"/>
        </w:rPr>
        <w:t xml:space="preserve"> </w:t>
      </w:r>
      <w:r w:rsidR="002757A6" w:rsidRPr="002757A6">
        <w:rPr>
          <w:rFonts w:ascii="Arial" w:hAnsi="Arial" w:cs="Arial"/>
        </w:rPr>
        <w:t>h</w:t>
      </w:r>
      <w:r w:rsidR="0046496D" w:rsidRPr="002757A6">
        <w:rPr>
          <w:rFonts w:ascii="Arial" w:hAnsi="Arial" w:cs="Arial"/>
        </w:rPr>
        <w:t xml:space="preserve">owever, </w:t>
      </w:r>
      <w:r w:rsidRPr="002757A6">
        <w:rPr>
          <w:rFonts w:ascii="Arial" w:hAnsi="Arial" w:cs="Arial"/>
        </w:rPr>
        <w:t xml:space="preserve">provide a similar picture of economic conditions on the island.  Figures </w:t>
      </w:r>
      <w:r w:rsidR="002757A6" w:rsidRPr="002757A6">
        <w:rPr>
          <w:rFonts w:ascii="Arial" w:hAnsi="Arial" w:cs="Arial"/>
        </w:rPr>
        <w:t>2</w:t>
      </w:r>
      <w:r w:rsidRPr="002757A6">
        <w:rPr>
          <w:rFonts w:ascii="Arial" w:hAnsi="Arial" w:cs="Arial"/>
        </w:rPr>
        <w:t xml:space="preserve"> and </w:t>
      </w:r>
      <w:r w:rsidR="002757A6" w:rsidRPr="002757A6">
        <w:rPr>
          <w:rFonts w:ascii="Arial" w:hAnsi="Arial" w:cs="Arial"/>
        </w:rPr>
        <w:t>3</w:t>
      </w:r>
      <w:r w:rsidRPr="002757A6">
        <w:rPr>
          <w:rFonts w:ascii="Arial" w:hAnsi="Arial" w:cs="Arial"/>
        </w:rPr>
        <w:t xml:space="preserve"> show</w:t>
      </w:r>
      <w:r w:rsidR="00B82251" w:rsidRPr="002757A6">
        <w:rPr>
          <w:rFonts w:ascii="Arial" w:hAnsi="Arial" w:cs="Arial"/>
        </w:rPr>
        <w:t xml:space="preserve"> in two </w:t>
      </w:r>
      <w:r w:rsidR="0046496D" w:rsidRPr="002757A6">
        <w:rPr>
          <w:rFonts w:ascii="Arial" w:hAnsi="Arial" w:cs="Arial"/>
        </w:rPr>
        <w:t>different ways</w:t>
      </w:r>
      <w:r w:rsidR="002757A6" w:rsidRPr="002757A6">
        <w:rPr>
          <w:rFonts w:ascii="Arial" w:hAnsi="Arial" w:cs="Arial"/>
        </w:rPr>
        <w:t xml:space="preserve"> how per capita GNP in Puerto Rico moved in the 2000 to 2012 period relative to GNP per capita in the United States.  During a period when the U.S. economy performed relatively poorly, the Puerto Rican economy performed much worse</w:t>
      </w:r>
      <w:r w:rsidR="004D7D6F">
        <w:rPr>
          <w:rFonts w:ascii="Arial" w:hAnsi="Arial" w:cs="Arial"/>
        </w:rPr>
        <w:t xml:space="preserve">.  Puerto </w:t>
      </w:r>
      <w:r w:rsidR="004D7D6F">
        <w:rPr>
          <w:rFonts w:ascii="Arial" w:hAnsi="Arial" w:cs="Arial"/>
        </w:rPr>
        <w:lastRenderedPageBreak/>
        <w:t xml:space="preserve">Rico’s per capital GNP in 2012 was down 2.7% from 2000 and 9.3% from the 2006 peak—and was down by </w:t>
      </w:r>
      <w:r w:rsidR="002757A6" w:rsidRPr="002757A6">
        <w:rPr>
          <w:rFonts w:ascii="Arial" w:hAnsi="Arial" w:cs="Arial"/>
        </w:rPr>
        <w:t>more than 12% relative to U.S. per capita GNP.</w:t>
      </w:r>
      <w:r w:rsidR="002757A6" w:rsidRPr="002757A6">
        <w:rPr>
          <w:rStyle w:val="FootnoteReference"/>
          <w:rFonts w:ascii="Arial" w:hAnsi="Arial" w:cs="Arial"/>
        </w:rPr>
        <w:footnoteReference w:customMarkFollows="1" w:id="1"/>
        <w:sym w:font="Symbol" w:char="F02A"/>
      </w:r>
    </w:p>
    <w:p w:rsidR="002B1849" w:rsidRPr="002757A6" w:rsidRDefault="002B1849" w:rsidP="004D7D6F">
      <w:pPr>
        <w:ind w:firstLine="720"/>
        <w:jc w:val="center"/>
        <w:rPr>
          <w:rFonts w:ascii="Arial" w:hAnsi="Arial" w:cs="Arial"/>
        </w:rPr>
      </w:pPr>
    </w:p>
    <w:p w:rsidR="00BC1427" w:rsidRDefault="007616D6" w:rsidP="004D7D6F">
      <w:pPr>
        <w:jc w:val="center"/>
      </w:pPr>
      <w:r>
        <w:rPr>
          <w:noProof/>
        </w:rPr>
        <w:drawing>
          <wp:inline distT="0" distB="0" distL="0" distR="0" wp14:anchorId="58127BBF" wp14:editId="5822314A">
            <wp:extent cx="4488110" cy="3179427"/>
            <wp:effectExtent l="0" t="0" r="27305" b="215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1427" w:rsidRDefault="00BC1427" w:rsidP="004D7D6F">
      <w:pPr>
        <w:jc w:val="center"/>
      </w:pPr>
    </w:p>
    <w:p w:rsidR="00F60560" w:rsidRDefault="007616D6" w:rsidP="004D7D6F">
      <w:pPr>
        <w:jc w:val="center"/>
      </w:pPr>
      <w:r>
        <w:rPr>
          <w:noProof/>
        </w:rPr>
        <w:drawing>
          <wp:inline distT="0" distB="0" distL="0" distR="0" wp14:anchorId="4E89F5DF" wp14:editId="1DAA3D50">
            <wp:extent cx="4488110" cy="3363985"/>
            <wp:effectExtent l="0" t="0" r="27305" b="273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1427" w:rsidRDefault="00BC1427" w:rsidP="00497F2D"/>
    <w:p w:rsidR="002B1849" w:rsidRDefault="002B1849" w:rsidP="00497F2D"/>
    <w:p w:rsidR="002B1849" w:rsidRPr="004D7D6F" w:rsidRDefault="00BC1427" w:rsidP="004D7D6F">
      <w:pPr>
        <w:ind w:firstLine="720"/>
        <w:rPr>
          <w:rFonts w:ascii="Arial" w:hAnsi="Arial" w:cs="Arial"/>
        </w:rPr>
      </w:pPr>
      <w:r w:rsidRPr="004D7D6F">
        <w:rPr>
          <w:rFonts w:ascii="Arial" w:hAnsi="Arial" w:cs="Arial"/>
        </w:rPr>
        <w:t xml:space="preserve">Corresponding to the data presented in Figures </w:t>
      </w:r>
      <w:r w:rsidR="004D7D6F" w:rsidRPr="004D7D6F">
        <w:rPr>
          <w:rFonts w:ascii="Arial" w:hAnsi="Arial" w:cs="Arial"/>
        </w:rPr>
        <w:t>1, 2, and 3,</w:t>
      </w:r>
      <w:r w:rsidRPr="004D7D6F">
        <w:rPr>
          <w:rFonts w:ascii="Arial" w:hAnsi="Arial" w:cs="Arial"/>
        </w:rPr>
        <w:t xml:space="preserve"> </w:t>
      </w:r>
      <w:r w:rsidR="00EC0B71" w:rsidRPr="004D7D6F">
        <w:rPr>
          <w:rFonts w:ascii="Arial" w:hAnsi="Arial" w:cs="Arial"/>
        </w:rPr>
        <w:t>two crucial aspects of conditions in the Puerto Rican economy for the 2001-2012 p</w:t>
      </w:r>
      <w:r w:rsidR="004D7D6F" w:rsidRPr="004D7D6F">
        <w:rPr>
          <w:rFonts w:ascii="Arial" w:hAnsi="Arial" w:cs="Arial"/>
        </w:rPr>
        <w:t>eriod are shown in Figure 4</w:t>
      </w:r>
      <w:r w:rsidR="00EC0B71" w:rsidRPr="004D7D6F">
        <w:rPr>
          <w:rFonts w:ascii="Arial" w:hAnsi="Arial" w:cs="Arial"/>
        </w:rPr>
        <w:t>—the unemployment rate and the investment rate.  In 2010, the investment rate fell below the unemployment rate, an extremely unusual occurrence for any economy</w:t>
      </w:r>
      <w:r w:rsidR="004D7D6F" w:rsidRPr="004D7D6F">
        <w:rPr>
          <w:rFonts w:ascii="Arial" w:hAnsi="Arial" w:cs="Arial"/>
        </w:rPr>
        <w:t>, and a reflection of the extremely dismal</w:t>
      </w:r>
      <w:r w:rsidR="00EC0B71" w:rsidRPr="004D7D6F">
        <w:rPr>
          <w:rFonts w:ascii="Arial" w:hAnsi="Arial" w:cs="Arial"/>
        </w:rPr>
        <w:t xml:space="preserve"> conditions in Puerto Rico. (While Fig</w:t>
      </w:r>
      <w:r w:rsidR="004D7D6F" w:rsidRPr="004D7D6F">
        <w:rPr>
          <w:rFonts w:ascii="Arial" w:hAnsi="Arial" w:cs="Arial"/>
        </w:rPr>
        <w:t>ure 4</w:t>
      </w:r>
      <w:r w:rsidR="00EC0B71" w:rsidRPr="004D7D6F">
        <w:rPr>
          <w:rFonts w:ascii="Arial" w:hAnsi="Arial" w:cs="Arial"/>
        </w:rPr>
        <w:t xml:space="preserve"> shows a very slight improvement in both measures between 2010 and 2012, the investment rate remained below the unemployment rate.</w:t>
      </w:r>
      <w:r w:rsidR="004D7D6F" w:rsidRPr="004D7D6F">
        <w:rPr>
          <w:rFonts w:ascii="Arial" w:hAnsi="Arial" w:cs="Arial"/>
        </w:rPr>
        <w:t>)</w:t>
      </w:r>
    </w:p>
    <w:p w:rsidR="002B1849" w:rsidRDefault="002B1849" w:rsidP="004D7D6F">
      <w:pPr>
        <w:jc w:val="center"/>
      </w:pPr>
    </w:p>
    <w:p w:rsidR="002B1849" w:rsidRDefault="007616D6" w:rsidP="004D7D6F">
      <w:pPr>
        <w:jc w:val="center"/>
      </w:pPr>
      <w:r>
        <w:rPr>
          <w:noProof/>
        </w:rPr>
        <w:drawing>
          <wp:inline distT="0" distB="0" distL="0" distR="0" wp14:anchorId="36A91792" wp14:editId="0FFA1774">
            <wp:extent cx="4899171" cy="3590488"/>
            <wp:effectExtent l="0" t="0" r="1587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1849" w:rsidRDefault="002B1849" w:rsidP="00497F2D"/>
    <w:p w:rsidR="002B1849" w:rsidRDefault="002B1849" w:rsidP="00497F2D"/>
    <w:p w:rsidR="002B1849" w:rsidRPr="004D7D6F" w:rsidRDefault="00570975" w:rsidP="004D7D6F">
      <w:pPr>
        <w:ind w:firstLine="720"/>
        <w:rPr>
          <w:rFonts w:ascii="Arial" w:hAnsi="Arial" w:cs="Arial"/>
        </w:rPr>
      </w:pPr>
      <w:r w:rsidRPr="004D7D6F">
        <w:rPr>
          <w:rFonts w:ascii="Arial" w:hAnsi="Arial" w:cs="Arial"/>
        </w:rPr>
        <w:t>The rise of the unemployment rate reflects an even greater problem than is immediately apparent because the Puerto Rican labor force participation rate has declined substantially in re</w:t>
      </w:r>
      <w:r w:rsidR="00263515">
        <w:rPr>
          <w:rFonts w:ascii="Arial" w:hAnsi="Arial" w:cs="Arial"/>
        </w:rPr>
        <w:t>cent years, as shown in Figure 5</w:t>
      </w:r>
      <w:r w:rsidRPr="004D7D6F">
        <w:rPr>
          <w:rFonts w:ascii="Arial" w:hAnsi="Arial" w:cs="Arial"/>
        </w:rPr>
        <w:t xml:space="preserve"> for the 2003</w:t>
      </w:r>
      <w:r w:rsidR="0046496D" w:rsidRPr="004D7D6F">
        <w:rPr>
          <w:rFonts w:ascii="Arial" w:hAnsi="Arial" w:cs="Arial"/>
        </w:rPr>
        <w:t>-2012</w:t>
      </w:r>
      <w:r w:rsidRPr="004D7D6F">
        <w:rPr>
          <w:rFonts w:ascii="Arial" w:hAnsi="Arial" w:cs="Arial"/>
        </w:rPr>
        <w:t xml:space="preserve"> </w:t>
      </w:r>
      <w:proofErr w:type="gramStart"/>
      <w:r w:rsidRPr="004D7D6F">
        <w:rPr>
          <w:rFonts w:ascii="Arial" w:hAnsi="Arial" w:cs="Arial"/>
        </w:rPr>
        <w:t>period</w:t>
      </w:r>
      <w:proofErr w:type="gramEnd"/>
      <w:r w:rsidRPr="004D7D6F">
        <w:rPr>
          <w:rFonts w:ascii="Arial" w:hAnsi="Arial" w:cs="Arial"/>
        </w:rPr>
        <w:t>.  The generally low labor force participation rate in Puerto Rico is often attributed to a high level of social support programs not connected to work (e.g., “food stamps”).  However, the decline in recent years, along with the data on the general decline of the Puerto Rican economy, suggests that</w:t>
      </w:r>
      <w:r w:rsidR="00DE273F" w:rsidRPr="004D7D6F">
        <w:rPr>
          <w:rFonts w:ascii="Arial" w:hAnsi="Arial" w:cs="Arial"/>
        </w:rPr>
        <w:t xml:space="preserve"> to a large extent the problem is </w:t>
      </w:r>
      <w:r w:rsidRPr="004D7D6F">
        <w:rPr>
          <w:rFonts w:ascii="Arial" w:hAnsi="Arial" w:cs="Arial"/>
        </w:rPr>
        <w:t>explained by the lack of jobs.</w:t>
      </w:r>
      <w:r w:rsidRPr="004D7D6F">
        <w:rPr>
          <w:rStyle w:val="FootnoteReference"/>
          <w:rFonts w:ascii="Arial" w:hAnsi="Arial" w:cs="Arial"/>
        </w:rPr>
        <w:footnoteReference w:customMarkFollows="1" w:id="2"/>
        <w:sym w:font="Symbol" w:char="F059"/>
      </w:r>
    </w:p>
    <w:p w:rsidR="002B1849" w:rsidRPr="004D7D6F" w:rsidRDefault="002B1849" w:rsidP="00497F2D">
      <w:pPr>
        <w:rPr>
          <w:rFonts w:ascii="Arial" w:hAnsi="Arial" w:cs="Arial"/>
        </w:rPr>
      </w:pPr>
    </w:p>
    <w:p w:rsidR="006B275D" w:rsidRDefault="007616D6" w:rsidP="00263515">
      <w:pPr>
        <w:jc w:val="center"/>
      </w:pPr>
      <w:r>
        <w:rPr>
          <w:noProof/>
        </w:rPr>
        <w:drawing>
          <wp:inline distT="0" distB="0" distL="0" distR="0" wp14:anchorId="54150A5A" wp14:editId="463AFF81">
            <wp:extent cx="4253218" cy="3473042"/>
            <wp:effectExtent l="0" t="0" r="14605" b="133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B275D" w:rsidRDefault="006B275D" w:rsidP="00497F2D"/>
    <w:p w:rsidR="00640F64" w:rsidRDefault="00640F64" w:rsidP="00497F2D"/>
    <w:p w:rsidR="002B1849" w:rsidRPr="00263515" w:rsidRDefault="0067475E" w:rsidP="00263515">
      <w:pPr>
        <w:ind w:firstLine="720"/>
        <w:rPr>
          <w:rFonts w:ascii="Arial" w:hAnsi="Arial" w:cs="Arial"/>
        </w:rPr>
      </w:pPr>
      <w:r w:rsidRPr="00263515">
        <w:rPr>
          <w:rFonts w:ascii="Arial" w:hAnsi="Arial" w:cs="Arial"/>
        </w:rPr>
        <w:t>Taken together, the data presented in the figures in this brief memo provide a very negative picture of economic conditions in Puerto Rico.  Any analysis of the impact of changes—for example, changes in federal programs such as SSI and Medicare—on the Puerto</w:t>
      </w:r>
      <w:r w:rsidR="00640F64">
        <w:rPr>
          <w:rFonts w:ascii="Arial" w:hAnsi="Arial" w:cs="Arial"/>
        </w:rPr>
        <w:t xml:space="preserve"> Rican economy should</w:t>
      </w:r>
      <w:r w:rsidR="00DE273F" w:rsidRPr="00263515">
        <w:rPr>
          <w:rFonts w:ascii="Arial" w:hAnsi="Arial" w:cs="Arial"/>
        </w:rPr>
        <w:t xml:space="preserve"> be placed in </w:t>
      </w:r>
      <w:r w:rsidRPr="00263515">
        <w:rPr>
          <w:rFonts w:ascii="Arial" w:hAnsi="Arial" w:cs="Arial"/>
        </w:rPr>
        <w:t>this context.</w:t>
      </w:r>
    </w:p>
    <w:p w:rsidR="00CF51E7" w:rsidRPr="00263515" w:rsidRDefault="00CF51E7" w:rsidP="007616D6">
      <w:pPr>
        <w:jc w:val="center"/>
        <w:rPr>
          <w:rFonts w:ascii="Arial" w:hAnsi="Arial" w:cs="Arial"/>
        </w:rPr>
      </w:pPr>
    </w:p>
    <w:p w:rsidR="00CF51E7" w:rsidRDefault="00CF51E7" w:rsidP="007616D6">
      <w:pPr>
        <w:jc w:val="center"/>
      </w:pPr>
    </w:p>
    <w:p w:rsidR="00CF51E7" w:rsidRDefault="00CF51E7" w:rsidP="007616D6">
      <w:pPr>
        <w:jc w:val="center"/>
      </w:pPr>
    </w:p>
    <w:p w:rsidR="00CF51E7" w:rsidRDefault="00CF51E7" w:rsidP="00497F2D"/>
    <w:p w:rsidR="00CF51E7" w:rsidRDefault="00CF51E7" w:rsidP="00497F2D"/>
    <w:p w:rsidR="00CF51E7" w:rsidRDefault="00CF51E7" w:rsidP="00497F2D"/>
    <w:p w:rsidR="00CF51E7" w:rsidRDefault="00CF51E7" w:rsidP="00497F2D"/>
    <w:p w:rsidR="0067475E" w:rsidRDefault="0067475E" w:rsidP="00497F2D"/>
    <w:sectPr w:rsidR="0067475E" w:rsidSect="008B09DC">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1DD" w:rsidRDefault="00D811DD">
      <w:r>
        <w:separator/>
      </w:r>
    </w:p>
  </w:endnote>
  <w:endnote w:type="continuationSeparator" w:id="0">
    <w:p w:rsidR="00D811DD" w:rsidRDefault="00D811DD">
      <w:r>
        <w:continuationSeparator/>
      </w:r>
    </w:p>
  </w:endnote>
  <w:endnote w:id="1">
    <w:p w:rsidR="006721C0" w:rsidRPr="00263515" w:rsidRDefault="006721C0">
      <w:pPr>
        <w:pStyle w:val="EndnoteText"/>
        <w:rPr>
          <w:rFonts w:ascii="Arial" w:hAnsi="Arial" w:cs="Arial"/>
        </w:rPr>
      </w:pPr>
      <w:r w:rsidRPr="00263515">
        <w:rPr>
          <w:rStyle w:val="EndnoteReference"/>
          <w:rFonts w:ascii="Arial" w:hAnsi="Arial" w:cs="Arial"/>
        </w:rPr>
        <w:endnoteRef/>
      </w:r>
      <w:r w:rsidRPr="00263515">
        <w:rPr>
          <w:rFonts w:ascii="Arial" w:hAnsi="Arial" w:cs="Arial"/>
        </w:rPr>
        <w:t xml:space="preserve"> Government Development Bank, </w:t>
      </w:r>
      <w:hyperlink r:id="rId1" w:history="1">
        <w:r w:rsidRPr="00263515">
          <w:rPr>
            <w:rFonts w:ascii="Arial" w:hAnsi="Arial" w:cs="Arial"/>
            <w:color w:val="0000FF"/>
            <w:u w:val="single"/>
          </w:rPr>
          <w:t>http://www.gdb-pur.com/economy/gdb-economic-activity-index.html</w:t>
        </w:r>
      </w:hyperlink>
      <w:r w:rsidRPr="00263515">
        <w:rPr>
          <w:rFonts w:ascii="Arial" w:hAnsi="Arial" w:cs="Arial"/>
        </w:rPr>
        <w:t>.</w:t>
      </w:r>
    </w:p>
    <w:p w:rsidR="00F41443" w:rsidRPr="00263515" w:rsidRDefault="00F41443">
      <w:pPr>
        <w:pStyle w:val="EndnoteText"/>
        <w:rPr>
          <w:rFonts w:ascii="Arial" w:hAnsi="Arial" w:cs="Arial"/>
        </w:rPr>
      </w:pPr>
    </w:p>
  </w:endnote>
  <w:endnote w:id="2">
    <w:p w:rsidR="00F41443" w:rsidRPr="00263515" w:rsidRDefault="00F41443">
      <w:pPr>
        <w:pStyle w:val="EndnoteText"/>
        <w:rPr>
          <w:rFonts w:ascii="Arial" w:hAnsi="Arial" w:cs="Arial"/>
        </w:rPr>
      </w:pPr>
      <w:r w:rsidRPr="00263515">
        <w:rPr>
          <w:rStyle w:val="EndnoteReference"/>
          <w:rFonts w:ascii="Arial" w:hAnsi="Arial" w:cs="Arial"/>
        </w:rPr>
        <w:endnoteRef/>
      </w:r>
      <w:r w:rsidRPr="00263515">
        <w:rPr>
          <w:rFonts w:ascii="Arial" w:hAnsi="Arial" w:cs="Arial"/>
        </w:rPr>
        <w:t xml:space="preserve"> For discussion of this data problem, see Box 1 in </w:t>
      </w:r>
      <w:r w:rsidR="00263515">
        <w:rPr>
          <w:rFonts w:ascii="Arial" w:hAnsi="Arial" w:cs="Arial"/>
        </w:rPr>
        <w:t xml:space="preserve">J. </w:t>
      </w:r>
      <w:r w:rsidRPr="00263515">
        <w:rPr>
          <w:rFonts w:ascii="Arial" w:hAnsi="Arial" w:cs="Arial"/>
        </w:rPr>
        <w:t>Tom</w:t>
      </w:r>
      <w:r w:rsidR="00263515">
        <w:rPr>
          <w:rFonts w:ascii="Arial" w:hAnsi="Arial" w:cs="Arial"/>
        </w:rPr>
        <w:t>as</w:t>
      </w:r>
      <w:r w:rsidRPr="00263515">
        <w:rPr>
          <w:rFonts w:ascii="Arial" w:hAnsi="Arial" w:cs="Arial"/>
        </w:rPr>
        <w:t xml:space="preserve"> Hexner and Arthur MacEwan, </w:t>
      </w:r>
      <w:r w:rsidRPr="00263515">
        <w:rPr>
          <w:rFonts w:ascii="Arial" w:hAnsi="Arial" w:cs="Arial"/>
          <w:i/>
        </w:rPr>
        <w:t>Puerto Rico: Continuing Socio-Economic Deterioration and the Need for Change</w:t>
      </w:r>
      <w:r w:rsidRPr="00263515">
        <w:rPr>
          <w:rFonts w:ascii="Arial" w:hAnsi="Arial" w:cs="Arial"/>
        </w:rPr>
        <w:t>, October 2012.</w:t>
      </w:r>
    </w:p>
    <w:p w:rsidR="00F41443" w:rsidRDefault="00F41443">
      <w:pPr>
        <w:pStyle w:val="EndnoteText"/>
      </w:pPr>
    </w:p>
    <w:p w:rsidR="00F41443" w:rsidRPr="00F41443" w:rsidRDefault="00F41443" w:rsidP="00F41443">
      <w:pPr>
        <w:jc w:val="center"/>
        <w:outlineLvl w:val="0"/>
        <w:rPr>
          <w:rFonts w:ascii="Arial" w:eastAsia="MS Mincho" w:hAnsi="Arial" w:cs="Arial"/>
          <w:b/>
          <w:sz w:val="20"/>
          <w:szCs w:val="20"/>
          <w:lang w:eastAsia="ja-JP"/>
        </w:rPr>
      </w:pPr>
    </w:p>
    <w:p w:rsidR="00F41443" w:rsidRDefault="00F4144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72" w:rsidRDefault="00CD7172" w:rsidP="00115C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7172" w:rsidRDefault="00CD7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72" w:rsidRDefault="00CD7172" w:rsidP="00115C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7721">
      <w:rPr>
        <w:rStyle w:val="PageNumber"/>
        <w:noProof/>
      </w:rPr>
      <w:t>4</w:t>
    </w:r>
    <w:r>
      <w:rPr>
        <w:rStyle w:val="PageNumber"/>
      </w:rPr>
      <w:fldChar w:fldCharType="end"/>
    </w:r>
  </w:p>
  <w:p w:rsidR="00CD7172" w:rsidRDefault="00CD71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72" w:rsidRPr="00EA25D6" w:rsidRDefault="00CD7172" w:rsidP="00EA2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1DD" w:rsidRDefault="00D811DD">
      <w:r>
        <w:separator/>
      </w:r>
    </w:p>
  </w:footnote>
  <w:footnote w:type="continuationSeparator" w:id="0">
    <w:p w:rsidR="00D811DD" w:rsidRDefault="00D811DD">
      <w:r>
        <w:continuationSeparator/>
      </w:r>
    </w:p>
  </w:footnote>
  <w:footnote w:id="1">
    <w:p w:rsidR="002757A6" w:rsidRPr="002757A6" w:rsidRDefault="002757A6" w:rsidP="002757A6">
      <w:pPr>
        <w:pStyle w:val="FootnoteText"/>
        <w:rPr>
          <w:rFonts w:ascii="Arial" w:hAnsi="Arial" w:cs="Arial"/>
        </w:rPr>
      </w:pPr>
      <w:r w:rsidRPr="002757A6">
        <w:rPr>
          <w:rStyle w:val="FootnoteReference"/>
          <w:rFonts w:ascii="Arial" w:hAnsi="Arial" w:cs="Arial"/>
        </w:rPr>
        <w:sym w:font="Symbol" w:char="F02A"/>
      </w:r>
      <w:r w:rsidRPr="002757A6">
        <w:rPr>
          <w:rFonts w:ascii="Arial" w:hAnsi="Arial" w:cs="Arial"/>
        </w:rPr>
        <w:t xml:space="preserve"> Two comments are necessary.  First, U.S. GNP figures for recent years are not readily available.  So the 2011 and 2012 figures here have been obtained by applying the GDP growth rate for those years.  Second, personal income per capita in Puerto Rico has not declined as much as has GNP per capita because of various transfer payments from the federal government.</w:t>
      </w:r>
    </w:p>
  </w:footnote>
  <w:footnote w:id="2">
    <w:p w:rsidR="00570975" w:rsidRDefault="00570975">
      <w:pPr>
        <w:pStyle w:val="FootnoteText"/>
      </w:pPr>
      <w:r w:rsidRPr="00570975">
        <w:rPr>
          <w:rStyle w:val="FootnoteReference"/>
        </w:rPr>
        <w:sym w:font="Symbol" w:char="F059"/>
      </w:r>
      <w:r>
        <w:t xml:space="preserve"> </w:t>
      </w:r>
      <w:r w:rsidR="0067475E">
        <w:t>It is possible that part of the decline in the labor force participation rate is explained by the people’s shift from work in the formal economy to work in the informal economy.  Estimates suggest that the informal, or underground, economy accounts for as much as 25% of Puerto Rico’s GNP.  However, there is not information available that would show whether or not there has been an increase in the relative importance of the informal economy in recent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D6" w:rsidRDefault="00EA25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D6" w:rsidRDefault="00EA25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D6" w:rsidRDefault="00EA2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849C9"/>
    <w:multiLevelType w:val="hybridMultilevel"/>
    <w:tmpl w:val="EB5E29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691899"/>
    <w:multiLevelType w:val="hybridMultilevel"/>
    <w:tmpl w:val="9F16B6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DC"/>
    <w:rsid w:val="000102B4"/>
    <w:rsid w:val="00016BEC"/>
    <w:rsid w:val="000334FA"/>
    <w:rsid w:val="00072AD6"/>
    <w:rsid w:val="00090799"/>
    <w:rsid w:val="00115C30"/>
    <w:rsid w:val="001661AE"/>
    <w:rsid w:val="001B6E6A"/>
    <w:rsid w:val="001E0C96"/>
    <w:rsid w:val="001E7112"/>
    <w:rsid w:val="002467E0"/>
    <w:rsid w:val="00263515"/>
    <w:rsid w:val="002757A6"/>
    <w:rsid w:val="002B1849"/>
    <w:rsid w:val="002C670A"/>
    <w:rsid w:val="00402A7A"/>
    <w:rsid w:val="0046496D"/>
    <w:rsid w:val="00490384"/>
    <w:rsid w:val="00497F2D"/>
    <w:rsid w:val="004A6A42"/>
    <w:rsid w:val="004C242F"/>
    <w:rsid w:val="004D7D6F"/>
    <w:rsid w:val="00502508"/>
    <w:rsid w:val="005274D0"/>
    <w:rsid w:val="00544D2A"/>
    <w:rsid w:val="00570975"/>
    <w:rsid w:val="00591D82"/>
    <w:rsid w:val="00596409"/>
    <w:rsid w:val="00622B25"/>
    <w:rsid w:val="00640F64"/>
    <w:rsid w:val="006721C0"/>
    <w:rsid w:val="0067475E"/>
    <w:rsid w:val="006B275D"/>
    <w:rsid w:val="006C3236"/>
    <w:rsid w:val="0071673D"/>
    <w:rsid w:val="00737721"/>
    <w:rsid w:val="0073772D"/>
    <w:rsid w:val="007616D6"/>
    <w:rsid w:val="007C4657"/>
    <w:rsid w:val="007D14AA"/>
    <w:rsid w:val="00881594"/>
    <w:rsid w:val="0089706C"/>
    <w:rsid w:val="008B09DC"/>
    <w:rsid w:val="008D65D0"/>
    <w:rsid w:val="008E513E"/>
    <w:rsid w:val="00934A6A"/>
    <w:rsid w:val="00966303"/>
    <w:rsid w:val="009D5CB9"/>
    <w:rsid w:val="009F0399"/>
    <w:rsid w:val="00A441C9"/>
    <w:rsid w:val="00A55744"/>
    <w:rsid w:val="00A73B13"/>
    <w:rsid w:val="00A755BD"/>
    <w:rsid w:val="00AD3F95"/>
    <w:rsid w:val="00B04339"/>
    <w:rsid w:val="00B35B36"/>
    <w:rsid w:val="00B57F19"/>
    <w:rsid w:val="00B82251"/>
    <w:rsid w:val="00BC1427"/>
    <w:rsid w:val="00BE30A2"/>
    <w:rsid w:val="00BE7428"/>
    <w:rsid w:val="00C06A9C"/>
    <w:rsid w:val="00C133A0"/>
    <w:rsid w:val="00C36A4F"/>
    <w:rsid w:val="00C64C64"/>
    <w:rsid w:val="00CA5C3C"/>
    <w:rsid w:val="00CD7172"/>
    <w:rsid w:val="00CF51E7"/>
    <w:rsid w:val="00CF60E2"/>
    <w:rsid w:val="00D50158"/>
    <w:rsid w:val="00D668F6"/>
    <w:rsid w:val="00D811DD"/>
    <w:rsid w:val="00DB0D59"/>
    <w:rsid w:val="00DB5A56"/>
    <w:rsid w:val="00DE273F"/>
    <w:rsid w:val="00E02839"/>
    <w:rsid w:val="00EA25D6"/>
    <w:rsid w:val="00EC0B71"/>
    <w:rsid w:val="00F06865"/>
    <w:rsid w:val="00F12D8F"/>
    <w:rsid w:val="00F15374"/>
    <w:rsid w:val="00F41443"/>
    <w:rsid w:val="00F55386"/>
    <w:rsid w:val="00F60560"/>
    <w:rsid w:val="00F8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9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9DC"/>
    <w:pPr>
      <w:tabs>
        <w:tab w:val="center" w:pos="4320"/>
        <w:tab w:val="right" w:pos="8640"/>
      </w:tabs>
    </w:pPr>
  </w:style>
  <w:style w:type="paragraph" w:styleId="Footer">
    <w:name w:val="footer"/>
    <w:basedOn w:val="Normal"/>
    <w:rsid w:val="008B09DC"/>
    <w:pPr>
      <w:tabs>
        <w:tab w:val="center" w:pos="4320"/>
        <w:tab w:val="right" w:pos="8640"/>
      </w:tabs>
    </w:pPr>
  </w:style>
  <w:style w:type="character" w:styleId="Hyperlink">
    <w:name w:val="Hyperlink"/>
    <w:rsid w:val="008B09DC"/>
    <w:rPr>
      <w:color w:val="0000FF"/>
      <w:u w:val="single"/>
    </w:rPr>
  </w:style>
  <w:style w:type="table" w:styleId="TableGrid">
    <w:name w:val="Table Grid"/>
    <w:basedOn w:val="TableNormal"/>
    <w:rsid w:val="00033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C3236"/>
    <w:rPr>
      <w:rFonts w:ascii="Tahoma" w:hAnsi="Tahoma" w:cs="Tahoma"/>
      <w:sz w:val="16"/>
      <w:szCs w:val="16"/>
    </w:rPr>
  </w:style>
  <w:style w:type="character" w:styleId="PageNumber">
    <w:name w:val="page number"/>
    <w:basedOn w:val="DefaultParagraphFont"/>
    <w:rsid w:val="001661AE"/>
  </w:style>
  <w:style w:type="paragraph" w:styleId="EndnoteText">
    <w:name w:val="endnote text"/>
    <w:basedOn w:val="Normal"/>
    <w:link w:val="EndnoteTextChar"/>
    <w:rsid w:val="0073772D"/>
    <w:rPr>
      <w:sz w:val="20"/>
      <w:szCs w:val="20"/>
    </w:rPr>
  </w:style>
  <w:style w:type="character" w:customStyle="1" w:styleId="EndnoteTextChar">
    <w:name w:val="Endnote Text Char"/>
    <w:basedOn w:val="DefaultParagraphFont"/>
    <w:link w:val="EndnoteText"/>
    <w:rsid w:val="0073772D"/>
  </w:style>
  <w:style w:type="character" w:styleId="EndnoteReference">
    <w:name w:val="endnote reference"/>
    <w:rsid w:val="0073772D"/>
    <w:rPr>
      <w:vertAlign w:val="superscript"/>
    </w:rPr>
  </w:style>
  <w:style w:type="paragraph" w:styleId="FootnoteText">
    <w:name w:val="footnote text"/>
    <w:basedOn w:val="Normal"/>
    <w:link w:val="FootnoteTextChar"/>
    <w:rsid w:val="00BC1427"/>
    <w:rPr>
      <w:sz w:val="20"/>
      <w:szCs w:val="20"/>
    </w:rPr>
  </w:style>
  <w:style w:type="character" w:customStyle="1" w:styleId="FootnoteTextChar">
    <w:name w:val="Footnote Text Char"/>
    <w:basedOn w:val="DefaultParagraphFont"/>
    <w:link w:val="FootnoteText"/>
    <w:rsid w:val="00BC1427"/>
  </w:style>
  <w:style w:type="character" w:styleId="FootnoteReference">
    <w:name w:val="footnote reference"/>
    <w:rsid w:val="00BC14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9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9DC"/>
    <w:pPr>
      <w:tabs>
        <w:tab w:val="center" w:pos="4320"/>
        <w:tab w:val="right" w:pos="8640"/>
      </w:tabs>
    </w:pPr>
  </w:style>
  <w:style w:type="paragraph" w:styleId="Footer">
    <w:name w:val="footer"/>
    <w:basedOn w:val="Normal"/>
    <w:rsid w:val="008B09DC"/>
    <w:pPr>
      <w:tabs>
        <w:tab w:val="center" w:pos="4320"/>
        <w:tab w:val="right" w:pos="8640"/>
      </w:tabs>
    </w:pPr>
  </w:style>
  <w:style w:type="character" w:styleId="Hyperlink">
    <w:name w:val="Hyperlink"/>
    <w:rsid w:val="008B09DC"/>
    <w:rPr>
      <w:color w:val="0000FF"/>
      <w:u w:val="single"/>
    </w:rPr>
  </w:style>
  <w:style w:type="table" w:styleId="TableGrid">
    <w:name w:val="Table Grid"/>
    <w:basedOn w:val="TableNormal"/>
    <w:rsid w:val="00033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C3236"/>
    <w:rPr>
      <w:rFonts w:ascii="Tahoma" w:hAnsi="Tahoma" w:cs="Tahoma"/>
      <w:sz w:val="16"/>
      <w:szCs w:val="16"/>
    </w:rPr>
  </w:style>
  <w:style w:type="character" w:styleId="PageNumber">
    <w:name w:val="page number"/>
    <w:basedOn w:val="DefaultParagraphFont"/>
    <w:rsid w:val="001661AE"/>
  </w:style>
  <w:style w:type="paragraph" w:styleId="EndnoteText">
    <w:name w:val="endnote text"/>
    <w:basedOn w:val="Normal"/>
    <w:link w:val="EndnoteTextChar"/>
    <w:rsid w:val="0073772D"/>
    <w:rPr>
      <w:sz w:val="20"/>
      <w:szCs w:val="20"/>
    </w:rPr>
  </w:style>
  <w:style w:type="character" w:customStyle="1" w:styleId="EndnoteTextChar">
    <w:name w:val="Endnote Text Char"/>
    <w:basedOn w:val="DefaultParagraphFont"/>
    <w:link w:val="EndnoteText"/>
    <w:rsid w:val="0073772D"/>
  </w:style>
  <w:style w:type="character" w:styleId="EndnoteReference">
    <w:name w:val="endnote reference"/>
    <w:rsid w:val="0073772D"/>
    <w:rPr>
      <w:vertAlign w:val="superscript"/>
    </w:rPr>
  </w:style>
  <w:style w:type="paragraph" w:styleId="FootnoteText">
    <w:name w:val="footnote text"/>
    <w:basedOn w:val="Normal"/>
    <w:link w:val="FootnoteTextChar"/>
    <w:rsid w:val="00BC1427"/>
    <w:rPr>
      <w:sz w:val="20"/>
      <w:szCs w:val="20"/>
    </w:rPr>
  </w:style>
  <w:style w:type="character" w:customStyle="1" w:styleId="FootnoteTextChar">
    <w:name w:val="Footnote Text Char"/>
    <w:basedOn w:val="DefaultParagraphFont"/>
    <w:link w:val="FootnoteText"/>
    <w:rsid w:val="00BC1427"/>
  </w:style>
  <w:style w:type="character" w:styleId="FootnoteReference">
    <w:name w:val="footnote reference"/>
    <w:rsid w:val="00BC14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gdb-pur.com/economy/gdb-economic-activity-index.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Figure 1: Puerto Rico Economic Activity Index of</a:t>
            </a:r>
            <a:r>
              <a:rPr lang="en-US" sz="1400" baseline="0"/>
              <a:t> the Government Development Bank</a:t>
            </a:r>
            <a:r>
              <a:rPr lang="en-US" sz="1400"/>
              <a:t>, FY2003-FY2013</a:t>
            </a:r>
          </a:p>
        </c:rich>
      </c:tx>
      <c:layout>
        <c:manualLayout>
          <c:xMode val="edge"/>
          <c:yMode val="edge"/>
          <c:x val="0.14019559497515546"/>
          <c:y val="0"/>
        </c:manualLayout>
      </c:layout>
      <c:overlay val="0"/>
    </c:title>
    <c:autoTitleDeleted val="0"/>
    <c:plotArea>
      <c:layout/>
      <c:barChart>
        <c:barDir val="col"/>
        <c:grouping val="clustered"/>
        <c:varyColors val="0"/>
        <c:ser>
          <c:idx val="0"/>
          <c:order val="0"/>
          <c:tx>
            <c:strRef>
              <c:f>Sheet1!$I$390</c:f>
              <c:strCache>
                <c:ptCount val="1"/>
                <c:pt idx="0">
                  <c:v>Economic Activity Index</c:v>
                </c:pt>
              </c:strCache>
            </c:strRef>
          </c:tx>
          <c:invertIfNegative val="0"/>
          <c:cat>
            <c:strRef>
              <c:f>Sheet1!$H$391:$H$401</c:f>
              <c:strCache>
                <c:ptCount val="11"/>
                <c:pt idx="0">
                  <c:v>2003</c:v>
                </c:pt>
                <c:pt idx="1">
                  <c:v>2004</c:v>
                </c:pt>
                <c:pt idx="2">
                  <c:v>2005</c:v>
                </c:pt>
                <c:pt idx="3">
                  <c:v>2006</c:v>
                </c:pt>
                <c:pt idx="4">
                  <c:v>2007</c:v>
                </c:pt>
                <c:pt idx="5">
                  <c:v>2008</c:v>
                </c:pt>
                <c:pt idx="6">
                  <c:v>2009</c:v>
                </c:pt>
                <c:pt idx="7">
                  <c:v>2010</c:v>
                </c:pt>
                <c:pt idx="8">
                  <c:v>2011</c:v>
                </c:pt>
                <c:pt idx="9">
                  <c:v>2012</c:v>
                </c:pt>
                <c:pt idx="10">
                  <c:v>2013*</c:v>
                </c:pt>
              </c:strCache>
            </c:strRef>
          </c:cat>
          <c:val>
            <c:numRef>
              <c:f>Sheet1!$I$391:$I$401</c:f>
              <c:numCache>
                <c:formatCode>General</c:formatCode>
                <c:ptCount val="11"/>
                <c:pt idx="0">
                  <c:v>149.1</c:v>
                </c:pt>
                <c:pt idx="1">
                  <c:v>152.19999999999999</c:v>
                </c:pt>
                <c:pt idx="2">
                  <c:v>154.6</c:v>
                </c:pt>
                <c:pt idx="3">
                  <c:v>154.9</c:v>
                </c:pt>
                <c:pt idx="4">
                  <c:v>152.80000000000001</c:v>
                </c:pt>
                <c:pt idx="5">
                  <c:v>149</c:v>
                </c:pt>
                <c:pt idx="6">
                  <c:v>141.6</c:v>
                </c:pt>
                <c:pt idx="7">
                  <c:v>134.5</c:v>
                </c:pt>
                <c:pt idx="8">
                  <c:v>130.6</c:v>
                </c:pt>
                <c:pt idx="9">
                  <c:v>130.80000000000001</c:v>
                </c:pt>
                <c:pt idx="10">
                  <c:v>130.69999999999999</c:v>
                </c:pt>
              </c:numCache>
            </c:numRef>
          </c:val>
        </c:ser>
        <c:dLbls>
          <c:dLblPos val="outEnd"/>
          <c:showLegendKey val="0"/>
          <c:showVal val="1"/>
          <c:showCatName val="0"/>
          <c:showSerName val="0"/>
          <c:showPercent val="0"/>
          <c:showBubbleSize val="0"/>
        </c:dLbls>
        <c:gapWidth val="150"/>
        <c:axId val="185919360"/>
        <c:axId val="186351616"/>
      </c:barChart>
      <c:catAx>
        <c:axId val="185919360"/>
        <c:scaling>
          <c:orientation val="minMax"/>
        </c:scaling>
        <c:delete val="0"/>
        <c:axPos val="b"/>
        <c:title>
          <c:tx>
            <c:rich>
              <a:bodyPr/>
              <a:lstStyle/>
              <a:p>
                <a:pPr algn="l">
                  <a:defRPr/>
                </a:pPr>
                <a:r>
                  <a:rPr lang="en-US"/>
                  <a:t>* </a:t>
                </a:r>
                <a:r>
                  <a:rPr lang="en-US" sz="900" b="0"/>
                  <a:t>Eleven months for FY2013. </a:t>
                </a:r>
              </a:p>
              <a:p>
                <a:pPr algn="l">
                  <a:defRPr/>
                </a:pPr>
                <a:r>
                  <a:rPr lang="en-US" sz="900" b="0"/>
                  <a:t>Source: PR</a:t>
                </a:r>
                <a:r>
                  <a:rPr lang="en-US" sz="900" b="0" baseline="0"/>
                  <a:t> Government Development Bank, </a:t>
                </a:r>
                <a:r>
                  <a:rPr lang="en-US" sz="900" b="0"/>
                  <a:t>http://www.bgfpr.com/economy/documents/13.EAI-2012-04-24.xls and www.gdb-pur.com/economy/gdb-economic-activity-index.html.</a:t>
                </a:r>
              </a:p>
            </c:rich>
          </c:tx>
          <c:layout>
            <c:manualLayout>
              <c:xMode val="edge"/>
              <c:yMode val="edge"/>
              <c:x val="0.12777997059830437"/>
              <c:y val="0.85547231167428406"/>
            </c:manualLayout>
          </c:layout>
          <c:overlay val="0"/>
        </c:title>
        <c:majorTickMark val="out"/>
        <c:minorTickMark val="none"/>
        <c:tickLblPos val="nextTo"/>
        <c:crossAx val="186351616"/>
        <c:crosses val="autoZero"/>
        <c:auto val="1"/>
        <c:lblAlgn val="ctr"/>
        <c:lblOffset val="100"/>
        <c:noMultiLvlLbl val="0"/>
      </c:catAx>
      <c:valAx>
        <c:axId val="186351616"/>
        <c:scaling>
          <c:orientation val="minMax"/>
        </c:scaling>
        <c:delete val="0"/>
        <c:axPos val="l"/>
        <c:majorGridlines/>
        <c:title>
          <c:tx>
            <c:rich>
              <a:bodyPr rot="-5400000" vert="horz"/>
              <a:lstStyle/>
              <a:p>
                <a:pPr>
                  <a:defRPr/>
                </a:pPr>
                <a:r>
                  <a:rPr lang="en-US" sz="1400"/>
                  <a:t>Index, 1980 = 100</a:t>
                </a:r>
              </a:p>
            </c:rich>
          </c:tx>
          <c:layout>
            <c:manualLayout>
              <c:xMode val="edge"/>
              <c:yMode val="edge"/>
              <c:x val="1.427385430914831E-2"/>
              <c:y val="0.24030628513646662"/>
            </c:manualLayout>
          </c:layout>
          <c:overlay val="0"/>
        </c:title>
        <c:numFmt formatCode="General" sourceLinked="1"/>
        <c:majorTickMark val="out"/>
        <c:minorTickMark val="none"/>
        <c:tickLblPos val="nextTo"/>
        <c:crossAx val="1859193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Figure</a:t>
            </a:r>
            <a:r>
              <a:rPr lang="en-US" sz="1400" baseline="0"/>
              <a:t> 2: </a:t>
            </a:r>
            <a:r>
              <a:rPr lang="en-US" sz="1400"/>
              <a:t>Index of US GNP Per Capita and Index of Puerto Rican GNP Per Capita, 2001-20012, </a:t>
            </a:r>
          </a:p>
          <a:p>
            <a:pPr>
              <a:defRPr/>
            </a:pPr>
            <a:r>
              <a:rPr lang="en-US" sz="1400"/>
              <a:t>2001 = 1000</a:t>
            </a:r>
            <a:r>
              <a:rPr lang="en-US" sz="1400" b="0"/>
              <a:t>*</a:t>
            </a:r>
          </a:p>
        </c:rich>
      </c:tx>
      <c:layout>
        <c:manualLayout>
          <c:xMode val="edge"/>
          <c:yMode val="edge"/>
          <c:x val="0.10031230169213773"/>
          <c:y val="2.2547914317925591E-2"/>
        </c:manualLayout>
      </c:layout>
      <c:overlay val="0"/>
    </c:title>
    <c:autoTitleDeleted val="0"/>
    <c:plotArea>
      <c:layout/>
      <c:lineChart>
        <c:grouping val="standard"/>
        <c:varyColors val="0"/>
        <c:ser>
          <c:idx val="0"/>
          <c:order val="0"/>
          <c:tx>
            <c:strRef>
              <c:f>Sheet1!$B$18</c:f>
              <c:strCache>
                <c:ptCount val="1"/>
                <c:pt idx="0">
                  <c:v>US</c:v>
                </c:pt>
              </c:strCache>
            </c:strRef>
          </c:tx>
          <c:marker>
            <c:symbol val="none"/>
          </c:marker>
          <c:cat>
            <c:numRef>
              <c:f>Sheet1!$A$19:$A$30</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Sheet1!$B$19:$B$30</c:f>
              <c:numCache>
                <c:formatCode>General</c:formatCode>
                <c:ptCount val="12"/>
                <c:pt idx="0">
                  <c:v>100</c:v>
                </c:pt>
                <c:pt idx="1">
                  <c:v>100.8</c:v>
                </c:pt>
                <c:pt idx="2">
                  <c:v>102.6</c:v>
                </c:pt>
                <c:pt idx="3">
                  <c:v>105.5</c:v>
                </c:pt>
                <c:pt idx="4">
                  <c:v>107.7</c:v>
                </c:pt>
                <c:pt idx="5">
                  <c:v>109.3</c:v>
                </c:pt>
                <c:pt idx="6">
                  <c:v>110.7</c:v>
                </c:pt>
                <c:pt idx="7">
                  <c:v>110.1</c:v>
                </c:pt>
                <c:pt idx="8">
                  <c:v>106</c:v>
                </c:pt>
                <c:pt idx="9">
                  <c:v>108.4</c:v>
                </c:pt>
                <c:pt idx="10">
                  <c:v>109.6</c:v>
                </c:pt>
                <c:pt idx="11">
                  <c:v>111.1</c:v>
                </c:pt>
              </c:numCache>
            </c:numRef>
          </c:val>
          <c:smooth val="0"/>
        </c:ser>
        <c:ser>
          <c:idx val="1"/>
          <c:order val="1"/>
          <c:tx>
            <c:strRef>
              <c:f>Sheet1!$C$18</c:f>
              <c:strCache>
                <c:ptCount val="1"/>
                <c:pt idx="0">
                  <c:v>PR</c:v>
                </c:pt>
              </c:strCache>
            </c:strRef>
          </c:tx>
          <c:marker>
            <c:symbol val="none"/>
          </c:marker>
          <c:cat>
            <c:numRef>
              <c:f>Sheet1!$A$19:$A$30</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Sheet1!$C$19:$C$30</c:f>
              <c:numCache>
                <c:formatCode>General</c:formatCode>
                <c:ptCount val="12"/>
                <c:pt idx="0">
                  <c:v>100</c:v>
                </c:pt>
                <c:pt idx="1">
                  <c:v>99.5</c:v>
                </c:pt>
                <c:pt idx="2">
                  <c:v>101.4</c:v>
                </c:pt>
                <c:pt idx="3">
                  <c:v>104.1</c:v>
                </c:pt>
                <c:pt idx="4">
                  <c:v>106.2</c:v>
                </c:pt>
                <c:pt idx="5">
                  <c:v>107</c:v>
                </c:pt>
                <c:pt idx="6">
                  <c:v>106.2</c:v>
                </c:pt>
                <c:pt idx="7">
                  <c:v>103.8</c:v>
                </c:pt>
                <c:pt idx="8">
                  <c:v>100.4</c:v>
                </c:pt>
                <c:pt idx="9">
                  <c:v>97.3</c:v>
                </c:pt>
                <c:pt idx="10">
                  <c:v>96.3</c:v>
                </c:pt>
                <c:pt idx="11">
                  <c:v>97.1</c:v>
                </c:pt>
              </c:numCache>
            </c:numRef>
          </c:val>
          <c:smooth val="0"/>
        </c:ser>
        <c:dLbls>
          <c:showLegendKey val="0"/>
          <c:showVal val="0"/>
          <c:showCatName val="0"/>
          <c:showSerName val="0"/>
          <c:showPercent val="0"/>
          <c:showBubbleSize val="0"/>
        </c:dLbls>
        <c:marker val="1"/>
        <c:smooth val="0"/>
        <c:axId val="186618624"/>
        <c:axId val="186620544"/>
      </c:lineChart>
      <c:catAx>
        <c:axId val="186618624"/>
        <c:scaling>
          <c:orientation val="minMax"/>
        </c:scaling>
        <c:delete val="0"/>
        <c:axPos val="b"/>
        <c:title>
          <c:tx>
            <c:rich>
              <a:bodyPr/>
              <a:lstStyle/>
              <a:p>
                <a:pPr algn="l">
                  <a:defRPr/>
                </a:pPr>
                <a:r>
                  <a:rPr lang="en-US" sz="900" b="0"/>
                  <a:t>* US</a:t>
                </a:r>
                <a:r>
                  <a:rPr lang="en-US" sz="900" b="0" baseline="0"/>
                  <a:t> GDP growth rate used to calculate 2011 and 2012.  Source: For Puerto Rico, www.gdb-put.com/economy/statistical-appendix.html; for U.S., www.bea.gov/scb/pdf/2011/06%20June/%pages/0611dpg_c/pdf and </a:t>
                </a:r>
                <a:r>
                  <a:rPr lang="en-US" sz="900" b="0" i="1" baseline="0"/>
                  <a:t>Economic Report of the President 2013</a:t>
                </a:r>
                <a:r>
                  <a:rPr lang="en-US" baseline="0"/>
                  <a:t>.</a:t>
                </a:r>
                <a:endParaRPr lang="en-US"/>
              </a:p>
            </c:rich>
          </c:tx>
          <c:layout>
            <c:manualLayout>
              <c:xMode val="edge"/>
              <c:yMode val="edge"/>
              <c:x val="8.6315542378330376E-2"/>
              <c:y val="0.78683572627260856"/>
            </c:manualLayout>
          </c:layout>
          <c:overlay val="0"/>
        </c:title>
        <c:numFmt formatCode="General" sourceLinked="1"/>
        <c:majorTickMark val="out"/>
        <c:minorTickMark val="none"/>
        <c:tickLblPos val="nextTo"/>
        <c:crossAx val="186620544"/>
        <c:crosses val="autoZero"/>
        <c:auto val="1"/>
        <c:lblAlgn val="ctr"/>
        <c:lblOffset val="100"/>
        <c:noMultiLvlLbl val="0"/>
      </c:catAx>
      <c:valAx>
        <c:axId val="186620544"/>
        <c:scaling>
          <c:orientation val="minMax"/>
        </c:scaling>
        <c:delete val="0"/>
        <c:axPos val="l"/>
        <c:majorGridlines/>
        <c:numFmt formatCode="General" sourceLinked="1"/>
        <c:majorTickMark val="out"/>
        <c:minorTickMark val="none"/>
        <c:tickLblPos val="nextTo"/>
        <c:crossAx val="1866186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Figure 3: Index of Puerto Rican GNP Per Capita Relative to Index of U.S. GNP Per Capita, </a:t>
            </a:r>
          </a:p>
          <a:p>
            <a:pPr>
              <a:defRPr/>
            </a:pPr>
            <a:r>
              <a:rPr lang="en-US" sz="1400"/>
              <a:t>2001-2012, 2001 = 100</a:t>
            </a:r>
            <a:r>
              <a:rPr lang="en-US" sz="1400" b="0"/>
              <a:t>*</a:t>
            </a:r>
          </a:p>
        </c:rich>
      </c:tx>
      <c:layout>
        <c:manualLayout>
          <c:xMode val="edge"/>
          <c:yMode val="edge"/>
          <c:x val="0.12372263861348905"/>
          <c:y val="1.4840299823519611E-6"/>
        </c:manualLayout>
      </c:layout>
      <c:overlay val="0"/>
    </c:title>
    <c:autoTitleDeleted val="0"/>
    <c:plotArea>
      <c:layout/>
      <c:lineChart>
        <c:grouping val="standard"/>
        <c:varyColors val="0"/>
        <c:ser>
          <c:idx val="0"/>
          <c:order val="0"/>
          <c:tx>
            <c:strRef>
              <c:f>Sheet1!$G$18</c:f>
              <c:strCache>
                <c:ptCount val="1"/>
                <c:pt idx="0">
                  <c:v>PR/US</c:v>
                </c:pt>
              </c:strCache>
            </c:strRef>
          </c:tx>
          <c:marker>
            <c:symbol val="none"/>
          </c:marker>
          <c:cat>
            <c:numRef>
              <c:f>Sheet1!$F$19:$F$30</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Sheet1!$G$19:$G$30</c:f>
              <c:numCache>
                <c:formatCode>General</c:formatCode>
                <c:ptCount val="12"/>
                <c:pt idx="0">
                  <c:v>100</c:v>
                </c:pt>
                <c:pt idx="1">
                  <c:v>98.710317460317469</c:v>
                </c:pt>
                <c:pt idx="2">
                  <c:v>98.830409356725156</c:v>
                </c:pt>
                <c:pt idx="3">
                  <c:v>98.672985781990519</c:v>
                </c:pt>
                <c:pt idx="4">
                  <c:v>98.607242339832865</c:v>
                </c:pt>
                <c:pt idx="5">
                  <c:v>97.895699908508689</c:v>
                </c:pt>
                <c:pt idx="6">
                  <c:v>95.934959349593498</c:v>
                </c:pt>
                <c:pt idx="7">
                  <c:v>94.277929155313359</c:v>
                </c:pt>
                <c:pt idx="8">
                  <c:v>94.716981132075475</c:v>
                </c:pt>
                <c:pt idx="9">
                  <c:v>89.760147601476007</c:v>
                </c:pt>
                <c:pt idx="10">
                  <c:v>87.864963503649633</c:v>
                </c:pt>
                <c:pt idx="11">
                  <c:v>87.39873987398741</c:v>
                </c:pt>
              </c:numCache>
            </c:numRef>
          </c:val>
          <c:smooth val="0"/>
        </c:ser>
        <c:dLbls>
          <c:showLegendKey val="0"/>
          <c:showVal val="0"/>
          <c:showCatName val="0"/>
          <c:showSerName val="0"/>
          <c:showPercent val="0"/>
          <c:showBubbleSize val="0"/>
        </c:dLbls>
        <c:marker val="1"/>
        <c:smooth val="0"/>
        <c:axId val="186636928"/>
        <c:axId val="187994880"/>
      </c:lineChart>
      <c:catAx>
        <c:axId val="186636928"/>
        <c:scaling>
          <c:orientation val="minMax"/>
        </c:scaling>
        <c:delete val="0"/>
        <c:axPos val="b"/>
        <c:title>
          <c:tx>
            <c:rich>
              <a:bodyPr/>
              <a:lstStyle/>
              <a:p>
                <a:pPr>
                  <a:defRPr/>
                </a:pPr>
                <a:r>
                  <a:rPr lang="en-US" sz="900" b="0"/>
                  <a:t>*</a:t>
                </a:r>
                <a:r>
                  <a:rPr lang="en-US" sz="900" b="0" baseline="0"/>
                  <a:t> See note to Figure 3.  </a:t>
                </a:r>
              </a:p>
              <a:p>
                <a:pPr>
                  <a:defRPr/>
                </a:pPr>
                <a:r>
                  <a:rPr lang="en-US" sz="900" b="0" baseline="0"/>
                  <a:t>Source: See Figure 3.</a:t>
                </a:r>
                <a:endParaRPr lang="en-US" sz="900" b="0"/>
              </a:p>
            </c:rich>
          </c:tx>
          <c:layout>
            <c:manualLayout>
              <c:xMode val="edge"/>
              <c:yMode val="edge"/>
              <c:x val="8.2626101140403654E-2"/>
              <c:y val="0.8902634029549511"/>
            </c:manualLayout>
          </c:layout>
          <c:overlay val="0"/>
        </c:title>
        <c:numFmt formatCode="General" sourceLinked="1"/>
        <c:majorTickMark val="out"/>
        <c:minorTickMark val="none"/>
        <c:tickLblPos val="nextTo"/>
        <c:crossAx val="187994880"/>
        <c:crosses val="autoZero"/>
        <c:auto val="1"/>
        <c:lblAlgn val="ctr"/>
        <c:lblOffset val="100"/>
        <c:noMultiLvlLbl val="0"/>
      </c:catAx>
      <c:valAx>
        <c:axId val="187994880"/>
        <c:scaling>
          <c:orientation val="minMax"/>
        </c:scaling>
        <c:delete val="0"/>
        <c:axPos val="l"/>
        <c:majorGridlines/>
        <c:numFmt formatCode="General" sourceLinked="1"/>
        <c:majorTickMark val="out"/>
        <c:minorTickMark val="none"/>
        <c:tickLblPos val="nextTo"/>
        <c:crossAx val="18663692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Figure 4: Puerto Rico Investment Rate and Unemployment Rate, FY2001-FY2012</a:t>
            </a:r>
            <a:r>
              <a:rPr lang="en-US" sz="1400" b="0"/>
              <a:t>*</a:t>
            </a:r>
            <a:endParaRPr lang="en-US" sz="1400"/>
          </a:p>
        </c:rich>
      </c:tx>
      <c:overlay val="0"/>
    </c:title>
    <c:autoTitleDeleted val="0"/>
    <c:plotArea>
      <c:layout/>
      <c:lineChart>
        <c:grouping val="standard"/>
        <c:varyColors val="0"/>
        <c:ser>
          <c:idx val="0"/>
          <c:order val="0"/>
          <c:tx>
            <c:strRef>
              <c:f>Sheet1!$H$2</c:f>
              <c:strCache>
                <c:ptCount val="1"/>
                <c:pt idx="0">
                  <c:v>Investment Rate</c:v>
                </c:pt>
              </c:strCache>
            </c:strRef>
          </c:tx>
          <c:marker>
            <c:symbol val="none"/>
          </c:marker>
          <c:cat>
            <c:numRef>
              <c:f>Sheet1!$G$3:$G$14</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Sheet1!$H$3:$H$14</c:f>
              <c:numCache>
                <c:formatCode>General</c:formatCode>
                <c:ptCount val="12"/>
                <c:pt idx="0">
                  <c:v>25.9</c:v>
                </c:pt>
                <c:pt idx="1">
                  <c:v>24.7</c:v>
                </c:pt>
                <c:pt idx="2">
                  <c:v>23.4</c:v>
                </c:pt>
                <c:pt idx="3">
                  <c:v>23.1</c:v>
                </c:pt>
                <c:pt idx="4">
                  <c:v>21.7</c:v>
                </c:pt>
                <c:pt idx="5">
                  <c:v>20.5</c:v>
                </c:pt>
                <c:pt idx="6">
                  <c:v>19.3</c:v>
                </c:pt>
                <c:pt idx="7">
                  <c:v>17.5</c:v>
                </c:pt>
                <c:pt idx="8">
                  <c:v>15.2</c:v>
                </c:pt>
                <c:pt idx="9">
                  <c:v>13.9</c:v>
                </c:pt>
                <c:pt idx="10">
                  <c:v>14.6</c:v>
                </c:pt>
                <c:pt idx="11">
                  <c:v>14.6</c:v>
                </c:pt>
              </c:numCache>
            </c:numRef>
          </c:val>
          <c:smooth val="0"/>
        </c:ser>
        <c:ser>
          <c:idx val="1"/>
          <c:order val="1"/>
          <c:tx>
            <c:strRef>
              <c:f>Sheet1!$I$2</c:f>
              <c:strCache>
                <c:ptCount val="1"/>
                <c:pt idx="0">
                  <c:v>Unemployment Rate</c:v>
                </c:pt>
              </c:strCache>
            </c:strRef>
          </c:tx>
          <c:marker>
            <c:symbol val="none"/>
          </c:marker>
          <c:cat>
            <c:numRef>
              <c:f>Sheet1!$G$3:$G$14</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Sheet1!$I$3:$I$14</c:f>
              <c:numCache>
                <c:formatCode>General</c:formatCode>
                <c:ptCount val="12"/>
                <c:pt idx="0">
                  <c:v>11.4</c:v>
                </c:pt>
                <c:pt idx="1">
                  <c:v>12.2</c:v>
                </c:pt>
                <c:pt idx="2">
                  <c:v>12.1</c:v>
                </c:pt>
                <c:pt idx="3">
                  <c:v>11.4</c:v>
                </c:pt>
                <c:pt idx="4">
                  <c:v>10.6</c:v>
                </c:pt>
                <c:pt idx="5">
                  <c:v>11</c:v>
                </c:pt>
                <c:pt idx="6">
                  <c:v>10.6</c:v>
                </c:pt>
                <c:pt idx="7">
                  <c:v>11.2</c:v>
                </c:pt>
                <c:pt idx="8">
                  <c:v>13.7</c:v>
                </c:pt>
                <c:pt idx="9">
                  <c:v>16.3</c:v>
                </c:pt>
                <c:pt idx="10">
                  <c:v>16.2</c:v>
                </c:pt>
                <c:pt idx="11">
                  <c:v>15.2</c:v>
                </c:pt>
              </c:numCache>
            </c:numRef>
          </c:val>
          <c:smooth val="0"/>
        </c:ser>
        <c:dLbls>
          <c:showLegendKey val="0"/>
          <c:showVal val="0"/>
          <c:showCatName val="0"/>
          <c:showSerName val="0"/>
          <c:showPercent val="0"/>
          <c:showBubbleSize val="0"/>
        </c:dLbls>
        <c:marker val="1"/>
        <c:smooth val="0"/>
        <c:axId val="186471552"/>
        <c:axId val="186473472"/>
      </c:lineChart>
      <c:catAx>
        <c:axId val="186471552"/>
        <c:scaling>
          <c:orientation val="minMax"/>
        </c:scaling>
        <c:delete val="0"/>
        <c:axPos val="b"/>
        <c:title>
          <c:tx>
            <c:rich>
              <a:bodyPr/>
              <a:lstStyle/>
              <a:p>
                <a:pPr algn="l">
                  <a:defRPr/>
                </a:pPr>
                <a:r>
                  <a:rPr lang="en-US" sz="900" b="0"/>
                  <a:t>* Investment rate is gross fixed investment as a percent of GNP.  </a:t>
                </a:r>
              </a:p>
              <a:p>
                <a:pPr algn="l">
                  <a:defRPr/>
                </a:pPr>
                <a:r>
                  <a:rPr lang="en-US" sz="900" b="0"/>
                  <a:t>Source: Government Development Bank, www.gdb-pur.com/economy/statistical-appendix.html</a:t>
                </a:r>
              </a:p>
            </c:rich>
          </c:tx>
          <c:layout>
            <c:manualLayout>
              <c:xMode val="edge"/>
              <c:yMode val="edge"/>
              <c:x val="0.11603466818141456"/>
              <c:y val="0.83882363138138638"/>
            </c:manualLayout>
          </c:layout>
          <c:overlay val="0"/>
        </c:title>
        <c:numFmt formatCode="General" sourceLinked="1"/>
        <c:majorTickMark val="out"/>
        <c:minorTickMark val="none"/>
        <c:tickLblPos val="nextTo"/>
        <c:crossAx val="186473472"/>
        <c:crosses val="autoZero"/>
        <c:auto val="1"/>
        <c:lblAlgn val="ctr"/>
        <c:lblOffset val="100"/>
        <c:noMultiLvlLbl val="0"/>
      </c:catAx>
      <c:valAx>
        <c:axId val="186473472"/>
        <c:scaling>
          <c:orientation val="minMax"/>
        </c:scaling>
        <c:delete val="0"/>
        <c:axPos val="l"/>
        <c:majorGridlines/>
        <c:title>
          <c:tx>
            <c:rich>
              <a:bodyPr rot="-5400000" vert="horz"/>
              <a:lstStyle/>
              <a:p>
                <a:pPr>
                  <a:defRPr/>
                </a:pPr>
                <a:r>
                  <a:rPr lang="en-US" sz="1200"/>
                  <a:t>Percentage</a:t>
                </a:r>
              </a:p>
            </c:rich>
          </c:tx>
          <c:overlay val="0"/>
        </c:title>
        <c:numFmt formatCode="General" sourceLinked="1"/>
        <c:majorTickMark val="out"/>
        <c:minorTickMark val="none"/>
        <c:tickLblPos val="nextTo"/>
        <c:crossAx val="18647155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Figure 5: The Labor Force Participation Rate in Puerto Rico, 2003-2012</a:t>
            </a:r>
          </a:p>
        </c:rich>
      </c:tx>
      <c:overlay val="0"/>
    </c:title>
    <c:autoTitleDeleted val="0"/>
    <c:plotArea>
      <c:layout/>
      <c:barChart>
        <c:barDir val="col"/>
        <c:grouping val="clustered"/>
        <c:varyColors val="0"/>
        <c:ser>
          <c:idx val="0"/>
          <c:order val="0"/>
          <c:tx>
            <c:strRef>
              <c:f>Sheet1!$H$18</c:f>
              <c:strCache>
                <c:ptCount val="1"/>
                <c:pt idx="0">
                  <c:v>Labor Force Participation Rate</c:v>
                </c:pt>
              </c:strCache>
            </c:strRef>
          </c:tx>
          <c:invertIfNegative val="0"/>
          <c:cat>
            <c:numRef>
              <c:f>Sheet1!$G$19:$G$28</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Sheet1!$H$19:$H$28</c:f>
              <c:numCache>
                <c:formatCode>0.0%</c:formatCode>
                <c:ptCount val="10"/>
                <c:pt idx="0">
                  <c:v>0.46600000000000003</c:v>
                </c:pt>
                <c:pt idx="1">
                  <c:v>0.46400000000000002</c:v>
                </c:pt>
                <c:pt idx="2">
                  <c:v>0.47</c:v>
                </c:pt>
                <c:pt idx="3">
                  <c:v>0.48599999999999999</c:v>
                </c:pt>
                <c:pt idx="4">
                  <c:v>0.48599999999999999</c:v>
                </c:pt>
                <c:pt idx="5">
                  <c:v>0.46600000000000003</c:v>
                </c:pt>
                <c:pt idx="6">
                  <c:v>0.45500000000000002</c:v>
                </c:pt>
                <c:pt idx="7">
                  <c:v>0.441</c:v>
                </c:pt>
                <c:pt idx="8">
                  <c:v>0.42799999999999999</c:v>
                </c:pt>
                <c:pt idx="9">
                  <c:v>0.41799999999999998</c:v>
                </c:pt>
              </c:numCache>
            </c:numRef>
          </c:val>
        </c:ser>
        <c:dLbls>
          <c:showLegendKey val="0"/>
          <c:showVal val="0"/>
          <c:showCatName val="0"/>
          <c:showSerName val="0"/>
          <c:showPercent val="0"/>
          <c:showBubbleSize val="0"/>
        </c:dLbls>
        <c:gapWidth val="150"/>
        <c:axId val="186486144"/>
        <c:axId val="189793792"/>
      </c:barChart>
      <c:catAx>
        <c:axId val="186486144"/>
        <c:scaling>
          <c:orientation val="minMax"/>
        </c:scaling>
        <c:delete val="0"/>
        <c:axPos val="b"/>
        <c:title>
          <c:tx>
            <c:rich>
              <a:bodyPr/>
              <a:lstStyle/>
              <a:p>
                <a:pPr algn="l">
                  <a:defRPr/>
                </a:pPr>
                <a:r>
                  <a:rPr lang="en-US" sz="900" b="0"/>
                  <a:t>Source:</a:t>
                </a:r>
                <a:r>
                  <a:rPr lang="en-US" sz="900" b="0" baseline="0"/>
                  <a:t> Government Development Bank, www.gdb-pur.com/economy.statistical-appendix.html</a:t>
                </a:r>
                <a:r>
                  <a:rPr lang="en-US" b="0" baseline="0"/>
                  <a:t>.</a:t>
                </a:r>
                <a:endParaRPr lang="en-US" b="0"/>
              </a:p>
            </c:rich>
          </c:tx>
          <c:layout>
            <c:manualLayout>
              <c:xMode val="edge"/>
              <c:yMode val="edge"/>
              <c:x val="5.7801678402290009E-2"/>
              <c:y val="0.9470396844316048"/>
            </c:manualLayout>
          </c:layout>
          <c:overlay val="0"/>
        </c:title>
        <c:numFmt formatCode="General" sourceLinked="1"/>
        <c:majorTickMark val="out"/>
        <c:minorTickMark val="none"/>
        <c:tickLblPos val="nextTo"/>
        <c:crossAx val="189793792"/>
        <c:crosses val="autoZero"/>
        <c:auto val="1"/>
        <c:lblAlgn val="ctr"/>
        <c:lblOffset val="100"/>
        <c:noMultiLvlLbl val="0"/>
      </c:catAx>
      <c:valAx>
        <c:axId val="189793792"/>
        <c:scaling>
          <c:orientation val="minMax"/>
        </c:scaling>
        <c:delete val="0"/>
        <c:axPos val="l"/>
        <c:majorGridlines/>
        <c:numFmt formatCode="0.0%" sourceLinked="1"/>
        <c:majorTickMark val="out"/>
        <c:minorTickMark val="none"/>
        <c:tickLblPos val="nextTo"/>
        <c:crossAx val="1864861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3EB4-89CB-4D42-938C-5D9EE1D7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Arthur MacEwan    35 William Street    Cambridge, MA 02139</vt:lpstr>
    </vt:vector>
  </TitlesOfParts>
  <Company>Umass/Boston</Company>
  <LinksUpToDate>false</LinksUpToDate>
  <CharactersWithSpaces>2888</CharactersWithSpaces>
  <SharedDoc>false</SharedDoc>
  <HLinks>
    <vt:vector size="6" baseType="variant">
      <vt:variant>
        <vt:i4>7340140</vt:i4>
      </vt:variant>
      <vt:variant>
        <vt:i4>0</vt:i4>
      </vt:variant>
      <vt:variant>
        <vt:i4>0</vt:i4>
      </vt:variant>
      <vt:variant>
        <vt:i4>5</vt:i4>
      </vt:variant>
      <vt:variant>
        <vt:lpwstr>http://www.gdb-pur.com/economy/gdb-economic-activity-index.html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Arthur MacEwan    35 William Street    Cambridge, MA 02139</dc:title>
  <dc:creator>Arthur MacEwan</dc:creator>
  <cp:lastModifiedBy>Arthur MacEwan</cp:lastModifiedBy>
  <cp:revision>2</cp:revision>
  <cp:lastPrinted>2013-07-20T13:10:00Z</cp:lastPrinted>
  <dcterms:created xsi:type="dcterms:W3CDTF">2013-09-30T19:21:00Z</dcterms:created>
  <dcterms:modified xsi:type="dcterms:W3CDTF">2013-09-30T19:21:00Z</dcterms:modified>
</cp:coreProperties>
</file>